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239"/>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115" w:type="dxa"/>
          <w:right w:w="115" w:type="dxa"/>
        </w:tblCellMar>
        <w:tblLook w:val="04A0" w:firstRow="1" w:lastRow="0" w:firstColumn="1" w:lastColumn="0" w:noHBand="0" w:noVBand="1"/>
      </w:tblPr>
      <w:tblGrid>
        <w:gridCol w:w="9019"/>
      </w:tblGrid>
      <w:tr w:rsidR="00DA7548" w:rsidRPr="00B77A46" w14:paraId="2B1A910F" w14:textId="77777777" w:rsidTr="00217F4D">
        <w:trPr>
          <w:trHeight w:val="348"/>
        </w:trPr>
        <w:tc>
          <w:tcPr>
            <w:tcW w:w="9019" w:type="dxa"/>
            <w:vAlign w:val="center"/>
          </w:tcPr>
          <w:p w14:paraId="0623EBD2" w14:textId="1F2FAD94" w:rsidR="00CF5681" w:rsidRPr="00B77A46" w:rsidRDefault="005D1BFE" w:rsidP="00576255">
            <w:pPr>
              <w:spacing w:before="120" w:after="120" w:line="276" w:lineRule="auto"/>
              <w:contextualSpacing/>
              <w:jc w:val="center"/>
              <w:outlineLvl w:val="0"/>
              <w:rPr>
                <w:rFonts w:ascii="Arial" w:hAnsi="Arial" w:cs="Arial"/>
                <w:b/>
                <w:sz w:val="22"/>
                <w:szCs w:val="24"/>
                <w:lang w:val="en-MY"/>
                <w14:textOutline w14:w="0" w14:cap="flat" w14:cmpd="sng" w14:algn="ctr">
                  <w14:noFill/>
                  <w14:prstDash w14:val="solid"/>
                  <w14:round/>
                </w14:textOutline>
              </w:rPr>
            </w:pPr>
            <w:r w:rsidRPr="00B77A46">
              <w:rPr>
                <w:rFonts w:ascii="Arial" w:hAnsi="Arial" w:cs="Arial"/>
                <w:b/>
                <w:szCs w:val="24"/>
                <w:lang w:val="en-MY"/>
                <w14:textOutline w14:w="0" w14:cap="flat" w14:cmpd="sng" w14:algn="ctr">
                  <w14:noFill/>
                  <w14:prstDash w14:val="solid"/>
                  <w14:round/>
                </w14:textOutline>
              </w:rPr>
              <w:t xml:space="preserve">Embargo: Only to be published or disseminated at 1200 hour, </w:t>
            </w:r>
            <w:r w:rsidR="00340749" w:rsidRPr="00B77A46">
              <w:rPr>
                <w:rFonts w:ascii="Arial" w:hAnsi="Arial" w:cs="Arial"/>
                <w:b/>
                <w:szCs w:val="24"/>
                <w:lang w:val="en-MY"/>
                <w14:textOutline w14:w="0" w14:cap="flat" w14:cmpd="sng" w14:algn="ctr">
                  <w14:noFill/>
                  <w14:prstDash w14:val="solid"/>
                  <w14:round/>
                </w14:textOutline>
              </w:rPr>
              <w:t>T</w:t>
            </w:r>
            <w:r w:rsidR="00340749">
              <w:rPr>
                <w:rFonts w:ascii="Arial" w:hAnsi="Arial" w:cs="Arial"/>
                <w:b/>
                <w:szCs w:val="24"/>
                <w:lang w:val="en-MY"/>
                <w14:textOutline w14:w="0" w14:cap="flat" w14:cmpd="sng" w14:algn="ctr">
                  <w14:noFill/>
                  <w14:prstDash w14:val="solid"/>
                  <w14:round/>
                </w14:textOutline>
              </w:rPr>
              <w:t>uesd</w:t>
            </w:r>
            <w:r w:rsidR="00340749" w:rsidRPr="00B77A46">
              <w:rPr>
                <w:rFonts w:ascii="Arial" w:hAnsi="Arial" w:cs="Arial"/>
                <w:b/>
                <w:szCs w:val="24"/>
                <w:lang w:val="en-MY"/>
                <w14:textOutline w14:w="0" w14:cap="flat" w14:cmpd="sng" w14:algn="ctr">
                  <w14:noFill/>
                  <w14:prstDash w14:val="solid"/>
                  <w14:round/>
                </w14:textOutline>
              </w:rPr>
              <w:t>ay</w:t>
            </w:r>
            <w:r w:rsidRPr="00B77A46">
              <w:rPr>
                <w:rFonts w:ascii="Arial" w:hAnsi="Arial" w:cs="Arial"/>
                <w:b/>
                <w:szCs w:val="24"/>
                <w:lang w:val="en-MY"/>
                <w14:textOutline w14:w="0" w14:cap="flat" w14:cmpd="sng" w14:algn="ctr">
                  <w14:noFill/>
                  <w14:prstDash w14:val="solid"/>
                  <w14:round/>
                </w14:textOutline>
              </w:rPr>
              <w:t xml:space="preserve">, </w:t>
            </w:r>
            <w:r w:rsidR="0082104E">
              <w:rPr>
                <w:rFonts w:ascii="Arial" w:hAnsi="Arial" w:cs="Arial"/>
                <w:b/>
                <w:szCs w:val="24"/>
                <w:lang w:val="en-MY"/>
                <w14:textOutline w14:w="0" w14:cap="flat" w14:cmpd="sng" w14:algn="ctr">
                  <w14:noFill/>
                  <w14:prstDash w14:val="solid"/>
                  <w14:round/>
                </w14:textOutline>
              </w:rPr>
              <w:t>26</w:t>
            </w:r>
            <w:proofErr w:type="gramStart"/>
            <w:r w:rsidR="0082104E" w:rsidRPr="0082104E">
              <w:rPr>
                <w:rFonts w:ascii="Arial" w:hAnsi="Arial" w:cs="Arial"/>
                <w:b/>
                <w:szCs w:val="24"/>
                <w:vertAlign w:val="superscript"/>
                <w:lang w:val="en-MY"/>
                <w14:textOutline w14:w="0" w14:cap="flat" w14:cmpd="sng" w14:algn="ctr">
                  <w14:noFill/>
                  <w14:prstDash w14:val="solid"/>
                  <w14:round/>
                </w14:textOutline>
              </w:rPr>
              <w:t>th</w:t>
            </w:r>
            <w:r w:rsidR="0082104E">
              <w:rPr>
                <w:rFonts w:ascii="Arial" w:hAnsi="Arial" w:cs="Arial"/>
                <w:b/>
                <w:szCs w:val="24"/>
                <w:lang w:val="en-MY"/>
                <w14:textOutline w14:w="0" w14:cap="flat" w14:cmpd="sng" w14:algn="ctr">
                  <w14:noFill/>
                  <w14:prstDash w14:val="solid"/>
                  <w14:round/>
                </w14:textOutline>
              </w:rPr>
              <w:t xml:space="preserve">  May</w:t>
            </w:r>
            <w:proofErr w:type="gramEnd"/>
            <w:r w:rsidR="0082104E">
              <w:rPr>
                <w:rFonts w:ascii="Arial" w:hAnsi="Arial" w:cs="Arial"/>
                <w:b/>
                <w:szCs w:val="24"/>
                <w:lang w:val="en-MY"/>
                <w14:textOutline w14:w="0" w14:cap="flat" w14:cmpd="sng" w14:algn="ctr">
                  <w14:noFill/>
                  <w14:prstDash w14:val="solid"/>
                  <w14:round/>
                </w14:textOutline>
              </w:rPr>
              <w:t xml:space="preserve"> </w:t>
            </w:r>
            <w:r w:rsidRPr="00B77A46">
              <w:rPr>
                <w:rFonts w:ascii="Arial" w:hAnsi="Arial" w:cs="Arial"/>
                <w:b/>
                <w:szCs w:val="24"/>
                <w:lang w:val="en-MY"/>
                <w14:textOutline w14:w="0" w14:cap="flat" w14:cmpd="sng" w14:algn="ctr">
                  <w14:noFill/>
                  <w14:prstDash w14:val="solid"/>
                  <w14:round/>
                </w14:textOutline>
              </w:rPr>
              <w:t>2026</w:t>
            </w:r>
          </w:p>
        </w:tc>
      </w:tr>
    </w:tbl>
    <w:p w14:paraId="082E5173" w14:textId="0B29C714" w:rsidR="006251FB" w:rsidRPr="00B77A46" w:rsidRDefault="006251FB" w:rsidP="009352A8">
      <w:pPr>
        <w:tabs>
          <w:tab w:val="center" w:pos="4759"/>
        </w:tabs>
        <w:rPr>
          <w:rFonts w:ascii="Arial" w:hAnsi="Arial" w:cs="Arial"/>
          <w:b/>
          <w:sz w:val="28"/>
          <w:szCs w:val="28"/>
          <w:lang w:val="en-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9"/>
      </w:tblGrid>
      <w:tr w:rsidR="00DA7548" w:rsidRPr="00B77A46" w14:paraId="221B9263" w14:textId="77777777" w:rsidTr="009352A8">
        <w:tc>
          <w:tcPr>
            <w:tcW w:w="9019" w:type="dxa"/>
          </w:tcPr>
          <w:p w14:paraId="51115CA2" w14:textId="03E58893" w:rsidR="009352A8" w:rsidRPr="00B77A46" w:rsidRDefault="00401A35" w:rsidP="00401A35">
            <w:pPr>
              <w:tabs>
                <w:tab w:val="left" w:pos="1070"/>
                <w:tab w:val="center" w:pos="4401"/>
                <w:tab w:val="center" w:pos="4759"/>
              </w:tabs>
              <w:rPr>
                <w:rFonts w:ascii="Arial" w:hAnsi="Arial" w:cs="Arial"/>
                <w:b/>
                <w:sz w:val="24"/>
                <w:szCs w:val="24"/>
                <w:lang w:val="en-MY"/>
              </w:rPr>
            </w:pPr>
            <w:r w:rsidRPr="00B77A46">
              <w:rPr>
                <w:rFonts w:ascii="Arial" w:hAnsi="Arial" w:cs="Arial"/>
                <w:b/>
                <w:sz w:val="24"/>
                <w:szCs w:val="24"/>
                <w:lang w:val="en-MY"/>
              </w:rPr>
              <w:tab/>
            </w:r>
            <w:r w:rsidRPr="00B77A46">
              <w:rPr>
                <w:rFonts w:ascii="Arial" w:hAnsi="Arial" w:cs="Arial"/>
                <w:b/>
                <w:sz w:val="24"/>
                <w:szCs w:val="24"/>
                <w:lang w:val="en-MY"/>
              </w:rPr>
              <w:tab/>
            </w:r>
            <w:r w:rsidR="009352A8" w:rsidRPr="00B77A46">
              <w:rPr>
                <w:noProof/>
                <w:lang w:val="en-MY"/>
              </w:rPr>
              <w:drawing>
                <wp:inline distT="0" distB="0" distL="0" distR="0" wp14:anchorId="0CCD5240" wp14:editId="3BD90DC2">
                  <wp:extent cx="686435" cy="571361"/>
                  <wp:effectExtent l="0" t="0" r="0" b="635"/>
                  <wp:docPr id="27" name="Picture 27" descr="C:\Users\pabkkp\Desktop\jata negara.png"/>
                  <wp:cNvGraphicFramePr/>
                  <a:graphic xmlns:a="http://schemas.openxmlformats.org/drawingml/2006/main">
                    <a:graphicData uri="http://schemas.openxmlformats.org/drawingml/2006/picture">
                      <pic:pic xmlns:pic="http://schemas.openxmlformats.org/drawingml/2006/picture">
                        <pic:nvPicPr>
                          <pic:cNvPr id="2" name="Picture 2" descr="C:\Users\pabkkp\Desktop\jata negara.png"/>
                          <pic:cNvPicPr/>
                        </pic:nvPicPr>
                        <pic:blipFill>
                          <a:blip r:embed="rId8" cstate="print"/>
                          <a:stretch>
                            <a:fillRect/>
                          </a:stretch>
                        </pic:blipFill>
                        <pic:spPr bwMode="auto">
                          <a:xfrm>
                            <a:off x="0" y="0"/>
                            <a:ext cx="711437" cy="592172"/>
                          </a:xfrm>
                          <a:prstGeom prst="rect">
                            <a:avLst/>
                          </a:prstGeom>
                          <a:noFill/>
                          <a:ln w="9525">
                            <a:noFill/>
                            <a:miter lim="800000"/>
                            <a:headEnd/>
                            <a:tailEnd/>
                          </a:ln>
                        </pic:spPr>
                      </pic:pic>
                    </a:graphicData>
                  </a:graphic>
                </wp:inline>
              </w:drawing>
            </w:r>
          </w:p>
        </w:tc>
      </w:tr>
      <w:tr w:rsidR="009352A8" w:rsidRPr="00B77A46" w14:paraId="1E4B208A" w14:textId="77777777" w:rsidTr="009352A8">
        <w:tc>
          <w:tcPr>
            <w:tcW w:w="9019" w:type="dxa"/>
          </w:tcPr>
          <w:p w14:paraId="4FB6D33B" w14:textId="0A929631" w:rsidR="009352A8" w:rsidRPr="00B77A46" w:rsidRDefault="005D1BFE" w:rsidP="009352A8">
            <w:pPr>
              <w:spacing w:before="120" w:after="120"/>
              <w:contextualSpacing/>
              <w:jc w:val="center"/>
              <w:rPr>
                <w:rFonts w:ascii="Arial" w:hAnsi="Arial" w:cs="Arial"/>
                <w:b/>
                <w:sz w:val="24"/>
                <w:szCs w:val="31"/>
                <w:lang w:val="en-MY"/>
              </w:rPr>
            </w:pPr>
            <w:r w:rsidRPr="00B77A46">
              <w:rPr>
                <w:rFonts w:ascii="Arial" w:hAnsi="Arial" w:cs="Arial"/>
                <w:b/>
                <w:sz w:val="24"/>
                <w:szCs w:val="31"/>
                <w:lang w:val="en-MY"/>
              </w:rPr>
              <w:t>MINISTRY OF ECONOMY</w:t>
            </w:r>
          </w:p>
          <w:p w14:paraId="16CBAA26" w14:textId="7D6C475B" w:rsidR="009352A8" w:rsidRPr="00B77A46" w:rsidRDefault="005D1BFE" w:rsidP="009352A8">
            <w:pPr>
              <w:spacing w:before="120" w:after="120"/>
              <w:contextualSpacing/>
              <w:jc w:val="center"/>
              <w:rPr>
                <w:rFonts w:ascii="Arial" w:hAnsi="Arial" w:cs="Arial"/>
                <w:b/>
                <w:sz w:val="24"/>
                <w:szCs w:val="18"/>
                <w:lang w:val="en-MY"/>
              </w:rPr>
            </w:pPr>
            <w:r w:rsidRPr="00B77A46">
              <w:rPr>
                <w:rFonts w:ascii="Arial" w:hAnsi="Arial" w:cs="Arial"/>
                <w:b/>
                <w:sz w:val="24"/>
                <w:szCs w:val="18"/>
                <w:lang w:val="en-MY"/>
              </w:rPr>
              <w:t>DEPARTMENT OF STATISTICS MALAYSIA</w:t>
            </w:r>
          </w:p>
        </w:tc>
      </w:tr>
    </w:tbl>
    <w:p w14:paraId="10EE5908" w14:textId="49C158D3" w:rsidR="006251FB" w:rsidRPr="00B77A46" w:rsidRDefault="006251FB" w:rsidP="007419B6">
      <w:pPr>
        <w:tabs>
          <w:tab w:val="center" w:pos="4759"/>
        </w:tabs>
        <w:jc w:val="center"/>
        <w:rPr>
          <w:rFonts w:ascii="Arial" w:hAnsi="Arial" w:cs="Arial"/>
          <w:b/>
          <w:sz w:val="24"/>
          <w:szCs w:val="24"/>
          <w:lang w:val="en-MY"/>
        </w:rPr>
      </w:pPr>
    </w:p>
    <w:tbl>
      <w:tblPr>
        <w:tblStyle w:val="TableGrid"/>
        <w:tblW w:w="0" w:type="auto"/>
        <w:tblLook w:val="04A0" w:firstRow="1" w:lastRow="0" w:firstColumn="1" w:lastColumn="0" w:noHBand="0" w:noVBand="1"/>
      </w:tblPr>
      <w:tblGrid>
        <w:gridCol w:w="9019"/>
      </w:tblGrid>
      <w:tr w:rsidR="00DA7548" w:rsidRPr="00B77A46" w14:paraId="52C5E912" w14:textId="77777777" w:rsidTr="006251FB">
        <w:tc>
          <w:tcPr>
            <w:tcW w:w="9019" w:type="dxa"/>
            <w:tcBorders>
              <w:top w:val="nil"/>
              <w:left w:val="nil"/>
              <w:bottom w:val="nil"/>
              <w:right w:val="nil"/>
            </w:tcBorders>
            <w:shd w:val="clear" w:color="auto" w:fill="006666"/>
          </w:tcPr>
          <w:sdt>
            <w:sdtPr>
              <w:rPr>
                <w:rFonts w:ascii="Arial Black" w:hAnsi="Arial Black" w:cs="Arial"/>
                <w:b/>
                <w:caps/>
                <w:color w:val="FFFFFF" w:themeColor="background1"/>
                <w:sz w:val="32"/>
                <w:lang w:val="en-MY"/>
              </w:rPr>
              <w:alias w:val="Title"/>
              <w:tag w:val=""/>
              <w:id w:val="266357030"/>
              <w:dataBinding w:prefixMappings="xmlns:ns0='http://purl.org/dc/elements/1.1/' xmlns:ns1='http://schemas.openxmlformats.org/package/2006/metadata/core-properties' " w:xpath="/ns1:coreProperties[1]/ns0:title[1]" w:storeItemID="{6C3C8BC8-F283-45AE-878A-BAB7291924A1}"/>
              <w:text/>
            </w:sdtPr>
            <w:sdtEndPr/>
            <w:sdtContent>
              <w:p w14:paraId="52278FD6" w14:textId="1DDCEA02" w:rsidR="006251FB" w:rsidRPr="00B77A46" w:rsidRDefault="006251FB" w:rsidP="006251FB">
                <w:pPr>
                  <w:pStyle w:val="Header"/>
                  <w:spacing w:line="276" w:lineRule="auto"/>
                  <w:jc w:val="center"/>
                  <w:rPr>
                    <w:rFonts w:ascii="Arial Black" w:hAnsi="Arial Black" w:cs="Arial"/>
                    <w:b/>
                    <w:caps/>
                    <w:sz w:val="32"/>
                    <w:lang w:val="en-MY"/>
                  </w:rPr>
                </w:pPr>
                <w:r w:rsidRPr="00B77A46">
                  <w:rPr>
                    <w:rFonts w:ascii="Arial Black" w:hAnsi="Arial Black" w:cs="Arial"/>
                    <w:b/>
                    <w:caps/>
                    <w:color w:val="FFFFFF" w:themeColor="background1"/>
                    <w:sz w:val="32"/>
                    <w:lang w:val="en-MY"/>
                  </w:rPr>
                  <w:t>MEDIA</w:t>
                </w:r>
                <w:r w:rsidR="005D1BFE" w:rsidRPr="00B77A46">
                  <w:rPr>
                    <w:rFonts w:ascii="Arial Black" w:hAnsi="Arial Black" w:cs="Arial"/>
                    <w:b/>
                    <w:caps/>
                    <w:color w:val="FFFFFF" w:themeColor="background1"/>
                    <w:sz w:val="32"/>
                    <w:lang w:val="en-MY"/>
                  </w:rPr>
                  <w:t xml:space="preserve"> STATEMENT</w:t>
                </w:r>
              </w:p>
            </w:sdtContent>
          </w:sdt>
        </w:tc>
      </w:tr>
    </w:tbl>
    <w:p w14:paraId="3DBD9B3D" w14:textId="54B2425A" w:rsidR="006251FB" w:rsidRPr="00B77A46" w:rsidRDefault="006251FB" w:rsidP="006251FB">
      <w:pPr>
        <w:tabs>
          <w:tab w:val="center" w:pos="4759"/>
        </w:tabs>
        <w:rPr>
          <w:rFonts w:ascii="Arial" w:hAnsi="Arial" w:cs="Arial"/>
          <w:b/>
          <w:sz w:val="28"/>
          <w:szCs w:val="28"/>
          <w:lang w:val="en-MY"/>
        </w:rPr>
      </w:pPr>
    </w:p>
    <w:p w14:paraId="607BFCB2" w14:textId="389A40AF" w:rsidR="00907A48" w:rsidRPr="00B77A46" w:rsidRDefault="00907A48" w:rsidP="00907A48">
      <w:pPr>
        <w:spacing w:before="29" w:line="260" w:lineRule="exact"/>
        <w:jc w:val="center"/>
        <w:rPr>
          <w:rFonts w:ascii="Arial" w:eastAsia="Arial" w:hAnsi="Arial" w:cs="Arial"/>
          <w:sz w:val="28"/>
          <w:szCs w:val="24"/>
          <w:lang w:val="en-MY"/>
        </w:rPr>
      </w:pPr>
      <w:r w:rsidRPr="00B77A46">
        <w:rPr>
          <w:rFonts w:ascii="Arial" w:eastAsia="Arial" w:hAnsi="Arial" w:cs="Arial"/>
          <w:b/>
          <w:i/>
          <w:spacing w:val="-1"/>
          <w:position w:val="-1"/>
          <w:sz w:val="28"/>
          <w:szCs w:val="24"/>
          <w:lang w:val="en-MY"/>
        </w:rPr>
        <w:t>M</w:t>
      </w:r>
      <w:r w:rsidRPr="00B77A46">
        <w:rPr>
          <w:rFonts w:ascii="Arial" w:eastAsia="Arial" w:hAnsi="Arial" w:cs="Arial"/>
          <w:b/>
          <w:i/>
          <w:position w:val="-1"/>
          <w:sz w:val="28"/>
          <w:szCs w:val="24"/>
          <w:lang w:val="en-MY"/>
        </w:rPr>
        <w:t>A</w:t>
      </w:r>
      <w:r w:rsidRPr="00B77A46">
        <w:rPr>
          <w:rFonts w:ascii="Arial" w:eastAsia="Arial" w:hAnsi="Arial" w:cs="Arial"/>
          <w:b/>
          <w:i/>
          <w:spacing w:val="-1"/>
          <w:position w:val="-1"/>
          <w:sz w:val="28"/>
          <w:szCs w:val="24"/>
          <w:lang w:val="en-MY"/>
        </w:rPr>
        <w:t>L</w:t>
      </w:r>
      <w:r w:rsidRPr="00B77A46">
        <w:rPr>
          <w:rFonts w:ascii="Arial" w:eastAsia="Arial" w:hAnsi="Arial" w:cs="Arial"/>
          <w:b/>
          <w:i/>
          <w:position w:val="-1"/>
          <w:sz w:val="28"/>
          <w:szCs w:val="24"/>
          <w:lang w:val="en-MY"/>
        </w:rPr>
        <w:t>AY</w:t>
      </w:r>
      <w:r w:rsidRPr="00B77A46">
        <w:rPr>
          <w:rFonts w:ascii="Arial" w:eastAsia="Arial" w:hAnsi="Arial" w:cs="Arial"/>
          <w:b/>
          <w:i/>
          <w:spacing w:val="1"/>
          <w:position w:val="-1"/>
          <w:sz w:val="28"/>
          <w:szCs w:val="24"/>
          <w:lang w:val="en-MY"/>
        </w:rPr>
        <w:t>S</w:t>
      </w:r>
      <w:r w:rsidRPr="00B77A46">
        <w:rPr>
          <w:rFonts w:ascii="Arial" w:eastAsia="Arial" w:hAnsi="Arial" w:cs="Arial"/>
          <w:b/>
          <w:i/>
          <w:position w:val="-1"/>
          <w:sz w:val="28"/>
          <w:szCs w:val="24"/>
          <w:lang w:val="en-MY"/>
        </w:rPr>
        <w:t xml:space="preserve">IA </w:t>
      </w:r>
      <w:r w:rsidRPr="00B77A46">
        <w:rPr>
          <w:rFonts w:ascii="Arial" w:eastAsia="Arial" w:hAnsi="Arial" w:cs="Arial"/>
          <w:b/>
          <w:i/>
          <w:spacing w:val="1"/>
          <w:position w:val="-1"/>
          <w:sz w:val="28"/>
          <w:szCs w:val="24"/>
          <w:lang w:val="en-MY"/>
        </w:rPr>
        <w:t>E</w:t>
      </w:r>
      <w:r w:rsidRPr="00B77A46">
        <w:rPr>
          <w:rFonts w:ascii="Arial" w:eastAsia="Arial" w:hAnsi="Arial" w:cs="Arial"/>
          <w:b/>
          <w:i/>
          <w:position w:val="-1"/>
          <w:sz w:val="28"/>
          <w:szCs w:val="24"/>
          <w:lang w:val="en-MY"/>
        </w:rPr>
        <w:t>CONO</w:t>
      </w:r>
      <w:r w:rsidRPr="00B77A46">
        <w:rPr>
          <w:rFonts w:ascii="Arial" w:eastAsia="Arial" w:hAnsi="Arial" w:cs="Arial"/>
          <w:b/>
          <w:i/>
          <w:spacing w:val="-1"/>
          <w:position w:val="-1"/>
          <w:sz w:val="28"/>
          <w:szCs w:val="24"/>
          <w:lang w:val="en-MY"/>
        </w:rPr>
        <w:t>M</w:t>
      </w:r>
      <w:r w:rsidRPr="00B77A46">
        <w:rPr>
          <w:rFonts w:ascii="Arial" w:eastAsia="Arial" w:hAnsi="Arial" w:cs="Arial"/>
          <w:b/>
          <w:i/>
          <w:position w:val="-1"/>
          <w:sz w:val="28"/>
          <w:szCs w:val="24"/>
          <w:lang w:val="en-MY"/>
        </w:rPr>
        <w:t xml:space="preserve">IC </w:t>
      </w:r>
      <w:r w:rsidRPr="00B77A46">
        <w:rPr>
          <w:rFonts w:ascii="Arial" w:eastAsia="Arial" w:hAnsi="Arial" w:cs="Arial"/>
          <w:b/>
          <w:i/>
          <w:spacing w:val="1"/>
          <w:position w:val="-1"/>
          <w:sz w:val="28"/>
          <w:szCs w:val="24"/>
          <w:lang w:val="en-MY"/>
        </w:rPr>
        <w:t>S</w:t>
      </w:r>
      <w:r w:rsidRPr="00B77A46">
        <w:rPr>
          <w:rFonts w:ascii="Arial" w:eastAsia="Arial" w:hAnsi="Arial" w:cs="Arial"/>
          <w:b/>
          <w:i/>
          <w:position w:val="-1"/>
          <w:sz w:val="28"/>
          <w:szCs w:val="24"/>
          <w:lang w:val="en-MY"/>
        </w:rPr>
        <w:t>T</w:t>
      </w:r>
      <w:r w:rsidRPr="00B77A46">
        <w:rPr>
          <w:rFonts w:ascii="Arial" w:eastAsia="Arial" w:hAnsi="Arial" w:cs="Arial"/>
          <w:b/>
          <w:i/>
          <w:spacing w:val="-1"/>
          <w:position w:val="-1"/>
          <w:sz w:val="28"/>
          <w:szCs w:val="24"/>
          <w:lang w:val="en-MY"/>
        </w:rPr>
        <w:t>A</w:t>
      </w:r>
      <w:r w:rsidRPr="00B77A46">
        <w:rPr>
          <w:rFonts w:ascii="Arial" w:eastAsia="Arial" w:hAnsi="Arial" w:cs="Arial"/>
          <w:b/>
          <w:i/>
          <w:position w:val="-1"/>
          <w:sz w:val="28"/>
          <w:szCs w:val="24"/>
          <w:lang w:val="en-MY"/>
        </w:rPr>
        <w:t>TI</w:t>
      </w:r>
      <w:r w:rsidRPr="00B77A46">
        <w:rPr>
          <w:rFonts w:ascii="Arial" w:eastAsia="Arial" w:hAnsi="Arial" w:cs="Arial"/>
          <w:b/>
          <w:i/>
          <w:spacing w:val="1"/>
          <w:position w:val="-1"/>
          <w:sz w:val="28"/>
          <w:szCs w:val="24"/>
          <w:lang w:val="en-MY"/>
        </w:rPr>
        <w:t>S</w:t>
      </w:r>
      <w:r w:rsidRPr="00B77A46">
        <w:rPr>
          <w:rFonts w:ascii="Arial" w:eastAsia="Arial" w:hAnsi="Arial" w:cs="Arial"/>
          <w:b/>
          <w:i/>
          <w:position w:val="-1"/>
          <w:sz w:val="28"/>
          <w:szCs w:val="24"/>
          <w:lang w:val="en-MY"/>
        </w:rPr>
        <w:t>TICS</w:t>
      </w:r>
      <w:r w:rsidRPr="00B77A46">
        <w:rPr>
          <w:rFonts w:ascii="Arial" w:eastAsia="Arial" w:hAnsi="Arial" w:cs="Arial"/>
          <w:b/>
          <w:i/>
          <w:spacing w:val="1"/>
          <w:position w:val="-1"/>
          <w:sz w:val="28"/>
          <w:szCs w:val="24"/>
          <w:lang w:val="en-MY"/>
        </w:rPr>
        <w:t xml:space="preserve"> </w:t>
      </w:r>
      <w:r w:rsidRPr="00B77A46">
        <w:rPr>
          <w:rFonts w:ascii="Arial" w:eastAsia="Arial" w:hAnsi="Arial" w:cs="Arial"/>
          <w:b/>
          <w:i/>
          <w:position w:val="-1"/>
          <w:sz w:val="28"/>
          <w:szCs w:val="24"/>
          <w:lang w:val="en-MY"/>
        </w:rPr>
        <w:t>RE</w:t>
      </w:r>
      <w:r w:rsidRPr="00B77A46">
        <w:rPr>
          <w:rFonts w:ascii="Arial" w:eastAsia="Arial" w:hAnsi="Arial" w:cs="Arial"/>
          <w:b/>
          <w:i/>
          <w:spacing w:val="-1"/>
          <w:position w:val="-1"/>
          <w:sz w:val="28"/>
          <w:szCs w:val="24"/>
          <w:lang w:val="en-MY"/>
        </w:rPr>
        <w:t>V</w:t>
      </w:r>
      <w:r w:rsidRPr="00B77A46">
        <w:rPr>
          <w:rFonts w:ascii="Arial" w:eastAsia="Arial" w:hAnsi="Arial" w:cs="Arial"/>
          <w:b/>
          <w:i/>
          <w:spacing w:val="-2"/>
          <w:position w:val="-1"/>
          <w:sz w:val="28"/>
          <w:szCs w:val="24"/>
          <w:lang w:val="en-MY"/>
        </w:rPr>
        <w:t>I</w:t>
      </w:r>
      <w:r w:rsidRPr="00B77A46">
        <w:rPr>
          <w:rFonts w:ascii="Arial" w:eastAsia="Arial" w:hAnsi="Arial" w:cs="Arial"/>
          <w:b/>
          <w:i/>
          <w:position w:val="-1"/>
          <w:sz w:val="28"/>
          <w:szCs w:val="24"/>
          <w:lang w:val="en-MY"/>
        </w:rPr>
        <w:t>E</w:t>
      </w:r>
      <w:r w:rsidRPr="00B77A46">
        <w:rPr>
          <w:rFonts w:ascii="Arial" w:eastAsia="Arial" w:hAnsi="Arial" w:cs="Arial"/>
          <w:b/>
          <w:i/>
          <w:spacing w:val="-1"/>
          <w:position w:val="-1"/>
          <w:sz w:val="28"/>
          <w:szCs w:val="24"/>
          <w:lang w:val="en-MY"/>
        </w:rPr>
        <w:t>W</w:t>
      </w:r>
      <w:r w:rsidRPr="00B77A46">
        <w:rPr>
          <w:rFonts w:ascii="Arial" w:eastAsia="Arial" w:hAnsi="Arial" w:cs="Arial"/>
          <w:b/>
          <w:i/>
          <w:position w:val="-1"/>
          <w:sz w:val="28"/>
          <w:szCs w:val="24"/>
          <w:lang w:val="en-MY"/>
        </w:rPr>
        <w:t>,</w:t>
      </w:r>
      <w:r w:rsidRPr="00B77A46">
        <w:rPr>
          <w:rFonts w:ascii="Arial" w:eastAsia="Arial" w:hAnsi="Arial" w:cs="Arial"/>
          <w:b/>
          <w:i/>
          <w:spacing w:val="1"/>
          <w:position w:val="-1"/>
          <w:sz w:val="28"/>
          <w:szCs w:val="24"/>
          <w:lang w:val="en-MY"/>
        </w:rPr>
        <w:t xml:space="preserve"> </w:t>
      </w:r>
      <w:r w:rsidRPr="00B77A46">
        <w:rPr>
          <w:rFonts w:ascii="Arial" w:eastAsia="Arial" w:hAnsi="Arial" w:cs="Arial"/>
          <w:b/>
          <w:i/>
          <w:position w:val="-1"/>
          <w:sz w:val="28"/>
          <w:szCs w:val="24"/>
          <w:lang w:val="en-MY"/>
        </w:rPr>
        <w:t>VOLU</w:t>
      </w:r>
      <w:r w:rsidRPr="00B77A46">
        <w:rPr>
          <w:rFonts w:ascii="Arial" w:eastAsia="Arial" w:hAnsi="Arial" w:cs="Arial"/>
          <w:b/>
          <w:i/>
          <w:spacing w:val="-1"/>
          <w:position w:val="-1"/>
          <w:sz w:val="28"/>
          <w:szCs w:val="24"/>
          <w:lang w:val="en-MY"/>
        </w:rPr>
        <w:t>M</w:t>
      </w:r>
      <w:r w:rsidRPr="00B77A46">
        <w:rPr>
          <w:rFonts w:ascii="Arial" w:eastAsia="Arial" w:hAnsi="Arial" w:cs="Arial"/>
          <w:b/>
          <w:i/>
          <w:position w:val="-1"/>
          <w:sz w:val="28"/>
          <w:szCs w:val="24"/>
          <w:lang w:val="en-MY"/>
        </w:rPr>
        <w:t>E</w:t>
      </w:r>
      <w:r w:rsidRPr="00B77A46">
        <w:rPr>
          <w:rFonts w:ascii="Arial" w:eastAsia="Arial" w:hAnsi="Arial" w:cs="Arial"/>
          <w:b/>
          <w:i/>
          <w:spacing w:val="1"/>
          <w:position w:val="-1"/>
          <w:sz w:val="28"/>
          <w:szCs w:val="24"/>
          <w:lang w:val="en-MY"/>
        </w:rPr>
        <w:t xml:space="preserve"> </w:t>
      </w:r>
      <w:r w:rsidR="00340749">
        <w:rPr>
          <w:rFonts w:ascii="Arial" w:eastAsia="Arial" w:hAnsi="Arial" w:cs="Arial"/>
          <w:b/>
          <w:i/>
          <w:spacing w:val="1"/>
          <w:position w:val="-1"/>
          <w:sz w:val="28"/>
          <w:szCs w:val="24"/>
          <w:lang w:val="en-MY"/>
        </w:rPr>
        <w:t>5</w:t>
      </w:r>
      <w:r w:rsidRPr="00B77A46">
        <w:rPr>
          <w:rFonts w:ascii="Arial" w:eastAsia="Arial" w:hAnsi="Arial" w:cs="Arial"/>
          <w:b/>
          <w:i/>
          <w:spacing w:val="-2"/>
          <w:position w:val="-1"/>
          <w:sz w:val="28"/>
          <w:szCs w:val="24"/>
          <w:lang w:val="en-MY"/>
        </w:rPr>
        <w:t>/</w:t>
      </w:r>
      <w:r w:rsidRPr="00B77A46">
        <w:rPr>
          <w:rFonts w:ascii="Arial" w:eastAsia="Arial" w:hAnsi="Arial" w:cs="Arial"/>
          <w:b/>
          <w:i/>
          <w:spacing w:val="1"/>
          <w:position w:val="-1"/>
          <w:sz w:val="28"/>
          <w:szCs w:val="24"/>
          <w:lang w:val="en-MY"/>
        </w:rPr>
        <w:t>20</w:t>
      </w:r>
      <w:r w:rsidRPr="00B77A46">
        <w:rPr>
          <w:rFonts w:ascii="Arial" w:eastAsia="Arial" w:hAnsi="Arial" w:cs="Arial"/>
          <w:b/>
          <w:i/>
          <w:spacing w:val="-1"/>
          <w:position w:val="-1"/>
          <w:sz w:val="28"/>
          <w:szCs w:val="24"/>
          <w:lang w:val="en-MY"/>
        </w:rPr>
        <w:t>2</w:t>
      </w:r>
      <w:r w:rsidRPr="00B77A46">
        <w:rPr>
          <w:rFonts w:ascii="Arial" w:eastAsia="Arial" w:hAnsi="Arial" w:cs="Arial"/>
          <w:b/>
          <w:i/>
          <w:position w:val="-1"/>
          <w:sz w:val="28"/>
          <w:szCs w:val="24"/>
          <w:lang w:val="en-MY"/>
        </w:rPr>
        <w:t>6</w:t>
      </w:r>
    </w:p>
    <w:p w14:paraId="0F9A1F18" w14:textId="77777777" w:rsidR="00907A48" w:rsidRPr="00B77A46" w:rsidRDefault="00907A48" w:rsidP="00907A48">
      <w:pPr>
        <w:spacing w:line="200" w:lineRule="exact"/>
        <w:jc w:val="center"/>
        <w:rPr>
          <w:sz w:val="22"/>
          <w:lang w:val="en-MY"/>
        </w:rPr>
      </w:pPr>
    </w:p>
    <w:p w14:paraId="26A79ACF" w14:textId="77777777" w:rsidR="00907A48" w:rsidRPr="00B77A46" w:rsidRDefault="00907A48" w:rsidP="00907A48">
      <w:pPr>
        <w:spacing w:line="200" w:lineRule="exact"/>
        <w:jc w:val="center"/>
        <w:rPr>
          <w:sz w:val="22"/>
          <w:lang w:val="en-MY"/>
        </w:rPr>
      </w:pPr>
    </w:p>
    <w:p w14:paraId="7B6E8F23" w14:textId="68904941" w:rsidR="00584255" w:rsidRPr="006C6E1B" w:rsidRDefault="00907A48" w:rsidP="006C6E1B">
      <w:pPr>
        <w:spacing w:line="200" w:lineRule="exact"/>
        <w:jc w:val="center"/>
        <w:rPr>
          <w:sz w:val="22"/>
          <w:lang w:val="en-MY"/>
        </w:rPr>
      </w:pPr>
      <w:r w:rsidRPr="00B77A46">
        <w:rPr>
          <w:rFonts w:ascii="Arial" w:hAnsi="Arial" w:cs="Arial"/>
          <w:b/>
          <w:noProof/>
          <w:sz w:val="28"/>
          <w:szCs w:val="28"/>
          <w:lang w:val="en-MY" w:eastAsia="en-MY"/>
        </w:rPr>
        <mc:AlternateContent>
          <mc:Choice Requires="wps">
            <w:drawing>
              <wp:anchor distT="4294967294" distB="4294967294" distL="0" distR="0" simplePos="0" relativeHeight="251683840" behindDoc="0" locked="0" layoutInCell="1" allowOverlap="1" wp14:anchorId="7B23F22B" wp14:editId="2D0E530F">
                <wp:simplePos x="0" y="0"/>
                <wp:positionH relativeFrom="column">
                  <wp:posOffset>0</wp:posOffset>
                </wp:positionH>
                <wp:positionV relativeFrom="paragraph">
                  <wp:posOffset>-635</wp:posOffset>
                </wp:positionV>
                <wp:extent cx="5765800" cy="0"/>
                <wp:effectExtent l="0" t="0" r="0" b="0"/>
                <wp:wrapNone/>
                <wp:docPr id="2" nam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580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23B35D7" id="1029" o:spid="_x0000_s1026" style="position:absolute;z-index:251683840;visibility:visible;mso-wrap-style:square;mso-width-percent:0;mso-height-percent:0;mso-wrap-distance-left:0;mso-wrap-distance-top:-6e-5mm;mso-wrap-distance-right:0;mso-wrap-distance-bottom:-6e-5mm;mso-position-horizontal:absolute;mso-position-horizontal-relative:text;mso-position-vertical:absolute;mso-position-vertical-relative:text;mso-width-percent:0;mso-height-percent:0;mso-width-relative:page;mso-height-relative:page" from="0,-.05pt" to="45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" strokeweight="2pt">
                <v:shadow color="#ccc"/>
              </v:line>
            </w:pict>
          </mc:Fallback>
        </mc:AlternateContent>
      </w:r>
    </w:p>
    <w:p w14:paraId="5DA2B5EE" w14:textId="462A5C27" w:rsidR="00584255" w:rsidRDefault="00584255" w:rsidP="00584255">
      <w:pPr>
        <w:spacing w:line="300" w:lineRule="auto"/>
        <w:rPr>
          <w:rFonts w:ascii="Arial" w:eastAsia="Arial" w:hAnsi="Arial" w:cs="Arial"/>
          <w:b/>
          <w:i/>
          <w:sz w:val="24"/>
          <w:szCs w:val="24"/>
          <w:lang w:val="en-MY"/>
        </w:rPr>
      </w:pPr>
    </w:p>
    <w:p w14:paraId="461B8883" w14:textId="2CCA4BF2" w:rsidR="00A54B38" w:rsidRPr="009E47A3" w:rsidRDefault="00A54B38" w:rsidP="00A54B38">
      <w:pPr>
        <w:pStyle w:val="ListParagraph"/>
        <w:numPr>
          <w:ilvl w:val="0"/>
          <w:numId w:val="15"/>
        </w:numPr>
        <w:spacing w:line="300" w:lineRule="atLeast"/>
        <w:rPr>
          <w:rFonts w:ascii="Arial" w:eastAsia="Arial" w:hAnsi="Arial" w:cs="Arial"/>
          <w:sz w:val="24"/>
          <w:szCs w:val="24"/>
          <w:lang w:val="en-MY"/>
        </w:rPr>
      </w:pPr>
      <w:r w:rsidRPr="009E47A3">
        <w:rPr>
          <w:rFonts w:ascii="Arial" w:eastAsia="Arial" w:hAnsi="Arial" w:cs="Arial"/>
          <w:sz w:val="24"/>
          <w:szCs w:val="24"/>
          <w:lang w:val="en-MY"/>
        </w:rPr>
        <w:t>Malaysia maintains its growth trajectory</w:t>
      </w:r>
      <w:r w:rsidR="000F1904" w:rsidRPr="009E47A3">
        <w:rPr>
          <w:rFonts w:ascii="Arial" w:eastAsia="Arial" w:hAnsi="Arial" w:cs="Arial"/>
          <w:sz w:val="24"/>
          <w:szCs w:val="24"/>
          <w:lang w:val="en-MY"/>
        </w:rPr>
        <w:t xml:space="preserve"> with sectoral momentum and labour market hold steady.</w:t>
      </w:r>
    </w:p>
    <w:p w14:paraId="63B49F7A" w14:textId="77777777" w:rsidR="00A54B38" w:rsidRPr="009E47A3" w:rsidRDefault="00A54B38" w:rsidP="00E757F7">
      <w:pPr>
        <w:pStyle w:val="ListParagraph"/>
        <w:spacing w:line="300" w:lineRule="atLeast"/>
        <w:rPr>
          <w:rFonts w:ascii="Arial" w:eastAsia="Arial" w:hAnsi="Arial" w:cs="Arial"/>
          <w:sz w:val="24"/>
          <w:szCs w:val="24"/>
          <w:lang w:val="en-MY"/>
        </w:rPr>
      </w:pPr>
    </w:p>
    <w:p w14:paraId="738D5BF9" w14:textId="7D9BF937" w:rsidR="00A54B38" w:rsidRPr="009E47A3" w:rsidRDefault="00A54B38" w:rsidP="00A54B38">
      <w:pPr>
        <w:pStyle w:val="ListParagraph"/>
        <w:numPr>
          <w:ilvl w:val="0"/>
          <w:numId w:val="15"/>
        </w:numPr>
        <w:spacing w:line="300" w:lineRule="atLeast"/>
        <w:rPr>
          <w:rFonts w:ascii="Arial" w:eastAsia="Arial" w:hAnsi="Arial" w:cs="Arial"/>
          <w:sz w:val="24"/>
          <w:szCs w:val="24"/>
          <w:lang w:val="en-MY"/>
        </w:rPr>
      </w:pPr>
      <w:r w:rsidRPr="009E47A3">
        <w:rPr>
          <w:rFonts w:ascii="Arial" w:eastAsia="Arial" w:hAnsi="Arial" w:cs="Arial"/>
          <w:sz w:val="24"/>
          <w:szCs w:val="24"/>
          <w:lang w:val="en-MY"/>
        </w:rPr>
        <w:t>Malaysia’s economy grew in Q1 2026, influenced by the strong performance of Services sector and domestic demand.</w:t>
      </w:r>
    </w:p>
    <w:p w14:paraId="5A7B2A93" w14:textId="77777777" w:rsidR="006C6E1B" w:rsidRPr="009E47A3" w:rsidRDefault="006C6E1B" w:rsidP="006C6E1B">
      <w:pPr>
        <w:pStyle w:val="ListParagraph"/>
        <w:spacing w:line="300" w:lineRule="auto"/>
        <w:jc w:val="both"/>
        <w:rPr>
          <w:rFonts w:ascii="Arial" w:eastAsia="Arial" w:hAnsi="Arial" w:cs="Arial"/>
          <w:sz w:val="24"/>
          <w:szCs w:val="24"/>
          <w:lang w:val="en-MY"/>
        </w:rPr>
      </w:pPr>
    </w:p>
    <w:p w14:paraId="1F11E4DF" w14:textId="086A9E89" w:rsidR="000C66BE" w:rsidRPr="009E47A3" w:rsidRDefault="000F1904" w:rsidP="006C6E1B">
      <w:pPr>
        <w:pStyle w:val="ListParagraph"/>
        <w:numPr>
          <w:ilvl w:val="0"/>
          <w:numId w:val="15"/>
        </w:numPr>
        <w:spacing w:line="300" w:lineRule="auto"/>
        <w:jc w:val="both"/>
        <w:rPr>
          <w:rFonts w:ascii="Arial" w:eastAsia="Arial" w:hAnsi="Arial" w:cs="Arial"/>
          <w:sz w:val="24"/>
          <w:szCs w:val="24"/>
          <w:lang w:val="en-MY"/>
        </w:rPr>
      </w:pPr>
      <w:r w:rsidRPr="009E47A3">
        <w:rPr>
          <w:rFonts w:ascii="Arial" w:eastAsia="Arial" w:hAnsi="Arial" w:cs="Arial"/>
          <w:sz w:val="24"/>
          <w:szCs w:val="24"/>
          <w:lang w:val="en-MY"/>
        </w:rPr>
        <w:t>Economic g</w:t>
      </w:r>
      <w:r w:rsidR="006C6E1B" w:rsidRPr="009E47A3">
        <w:rPr>
          <w:rFonts w:ascii="Arial" w:eastAsia="Arial" w:hAnsi="Arial" w:cs="Arial"/>
          <w:sz w:val="24"/>
          <w:szCs w:val="24"/>
          <w:lang w:val="en-MY"/>
        </w:rPr>
        <w:t xml:space="preserve">rowth is underpinned by the </w:t>
      </w:r>
      <w:r w:rsidRPr="009E47A3">
        <w:rPr>
          <w:rFonts w:ascii="Arial" w:eastAsia="Arial" w:hAnsi="Arial" w:cs="Arial"/>
          <w:sz w:val="24"/>
          <w:szCs w:val="24"/>
          <w:lang w:val="en-MY"/>
        </w:rPr>
        <w:t>S</w:t>
      </w:r>
      <w:r w:rsidR="006C6E1B" w:rsidRPr="009E47A3">
        <w:rPr>
          <w:rFonts w:ascii="Arial" w:eastAsia="Arial" w:hAnsi="Arial" w:cs="Arial"/>
          <w:sz w:val="24"/>
          <w:szCs w:val="24"/>
          <w:lang w:val="en-MY"/>
        </w:rPr>
        <w:t xml:space="preserve">ervices sector, alongside sustained momentum in </w:t>
      </w:r>
      <w:r w:rsidRPr="009E47A3">
        <w:rPr>
          <w:rFonts w:ascii="Arial" w:eastAsia="Arial" w:hAnsi="Arial" w:cs="Arial"/>
          <w:sz w:val="24"/>
          <w:szCs w:val="24"/>
          <w:lang w:val="en-MY"/>
        </w:rPr>
        <w:t>M</w:t>
      </w:r>
      <w:r w:rsidR="006C6E1B" w:rsidRPr="009E47A3">
        <w:rPr>
          <w:rFonts w:ascii="Arial" w:eastAsia="Arial" w:hAnsi="Arial" w:cs="Arial"/>
          <w:sz w:val="24"/>
          <w:szCs w:val="24"/>
          <w:lang w:val="en-MY"/>
        </w:rPr>
        <w:t>anufacturing activities.</w:t>
      </w:r>
    </w:p>
    <w:p w14:paraId="3B2DC98A" w14:textId="77777777" w:rsidR="00EA7028" w:rsidRPr="009E47A3" w:rsidRDefault="00EA7028" w:rsidP="00EA7028">
      <w:pPr>
        <w:pStyle w:val="ListParagraph"/>
        <w:rPr>
          <w:rFonts w:ascii="Arial" w:eastAsia="Arial" w:hAnsi="Arial" w:cs="Arial"/>
          <w:sz w:val="24"/>
          <w:szCs w:val="24"/>
          <w:lang w:val="en-MY"/>
        </w:rPr>
      </w:pPr>
    </w:p>
    <w:p w14:paraId="4D727636" w14:textId="77777777" w:rsidR="00EA7028" w:rsidRPr="009E47A3" w:rsidRDefault="00EA7028" w:rsidP="00EA7028">
      <w:pPr>
        <w:pStyle w:val="ListParagraph"/>
        <w:spacing w:line="300" w:lineRule="auto"/>
        <w:jc w:val="both"/>
        <w:rPr>
          <w:rFonts w:ascii="Arial" w:eastAsia="Arial" w:hAnsi="Arial" w:cs="Arial"/>
          <w:sz w:val="24"/>
          <w:szCs w:val="24"/>
          <w:lang w:val="en-MY"/>
        </w:rPr>
      </w:pPr>
    </w:p>
    <w:p w14:paraId="2C6D560D" w14:textId="1F6FF6CE" w:rsidR="001F0647" w:rsidRPr="009E47A3" w:rsidRDefault="00907A48" w:rsidP="003877FD">
      <w:pPr>
        <w:pStyle w:val="ListParagraph"/>
        <w:spacing w:line="300" w:lineRule="auto"/>
        <w:ind w:left="270" w:right="136"/>
        <w:jc w:val="both"/>
        <w:rPr>
          <w:rFonts w:ascii="Arial" w:eastAsia="Arial" w:hAnsi="Arial" w:cs="Arial"/>
          <w:i/>
          <w:sz w:val="24"/>
          <w:szCs w:val="24"/>
          <w:lang w:val="en-MY"/>
        </w:rPr>
      </w:pPr>
      <w:r w:rsidRPr="009E47A3">
        <w:rPr>
          <w:rFonts w:ascii="Arial" w:eastAsia="Arial" w:hAnsi="Arial" w:cs="Arial"/>
          <w:b/>
          <w:i/>
          <w:sz w:val="24"/>
          <w:szCs w:val="24"/>
          <w:lang w:val="en-MY"/>
        </w:rPr>
        <w:t>PU</w:t>
      </w:r>
      <w:r w:rsidRPr="009E47A3">
        <w:rPr>
          <w:rFonts w:ascii="Arial" w:eastAsia="Arial" w:hAnsi="Arial" w:cs="Arial"/>
          <w:b/>
          <w:i/>
          <w:spacing w:val="-1"/>
          <w:sz w:val="24"/>
          <w:szCs w:val="24"/>
          <w:lang w:val="en-MY"/>
        </w:rPr>
        <w:t>T</w:t>
      </w:r>
      <w:r w:rsidRPr="009E47A3">
        <w:rPr>
          <w:rFonts w:ascii="Arial" w:eastAsia="Arial" w:hAnsi="Arial" w:cs="Arial"/>
          <w:b/>
          <w:i/>
          <w:sz w:val="24"/>
          <w:szCs w:val="24"/>
          <w:lang w:val="en-MY"/>
        </w:rPr>
        <w:t>R</w:t>
      </w:r>
      <w:r w:rsidRPr="009E47A3">
        <w:rPr>
          <w:rFonts w:ascii="Arial" w:eastAsia="Arial" w:hAnsi="Arial" w:cs="Arial"/>
          <w:b/>
          <w:i/>
          <w:spacing w:val="-1"/>
          <w:sz w:val="24"/>
          <w:szCs w:val="24"/>
          <w:lang w:val="en-MY"/>
        </w:rPr>
        <w:t>A</w:t>
      </w:r>
      <w:r w:rsidRPr="009E47A3">
        <w:rPr>
          <w:rFonts w:ascii="Arial" w:eastAsia="Arial" w:hAnsi="Arial" w:cs="Arial"/>
          <w:b/>
          <w:i/>
          <w:spacing w:val="1"/>
          <w:sz w:val="24"/>
          <w:szCs w:val="24"/>
          <w:lang w:val="en-MY"/>
        </w:rPr>
        <w:t>J</w:t>
      </w:r>
      <w:r w:rsidRPr="009E47A3">
        <w:rPr>
          <w:rFonts w:ascii="Arial" w:eastAsia="Arial" w:hAnsi="Arial" w:cs="Arial"/>
          <w:b/>
          <w:i/>
          <w:sz w:val="24"/>
          <w:szCs w:val="24"/>
          <w:lang w:val="en-MY"/>
        </w:rPr>
        <w:t xml:space="preserve">AYA, </w:t>
      </w:r>
      <w:r w:rsidR="00340749" w:rsidRPr="009E47A3">
        <w:rPr>
          <w:rFonts w:ascii="Arial" w:eastAsia="Arial" w:hAnsi="Arial" w:cs="Arial"/>
          <w:b/>
          <w:i/>
          <w:sz w:val="24"/>
          <w:szCs w:val="24"/>
          <w:lang w:val="en-MY"/>
        </w:rPr>
        <w:t>26</w:t>
      </w:r>
      <w:proofErr w:type="spellStart"/>
      <w:r w:rsidR="001630C6" w:rsidRPr="009E47A3">
        <w:rPr>
          <w:rFonts w:ascii="Arial" w:eastAsia="Arial" w:hAnsi="Arial" w:cs="Arial"/>
          <w:b/>
          <w:i/>
          <w:position w:val="8"/>
          <w:sz w:val="24"/>
          <w:szCs w:val="24"/>
          <w:vertAlign w:val="superscript"/>
          <w:lang w:val="en-MY"/>
        </w:rPr>
        <w:t>th</w:t>
      </w:r>
      <w:proofErr w:type="spellEnd"/>
      <w:r w:rsidR="00047B56" w:rsidRPr="009E47A3">
        <w:rPr>
          <w:rFonts w:ascii="Arial" w:eastAsia="Arial" w:hAnsi="Arial" w:cs="Arial"/>
          <w:b/>
          <w:i/>
          <w:spacing w:val="11"/>
          <w:position w:val="8"/>
          <w:sz w:val="24"/>
          <w:szCs w:val="24"/>
          <w:lang w:val="en-MY"/>
        </w:rPr>
        <w:t xml:space="preserve"> </w:t>
      </w:r>
      <w:r w:rsidR="00340749" w:rsidRPr="009E47A3">
        <w:rPr>
          <w:rFonts w:ascii="Arial" w:eastAsia="Arial" w:hAnsi="Arial" w:cs="Arial"/>
          <w:b/>
          <w:i/>
          <w:spacing w:val="-1"/>
          <w:sz w:val="24"/>
          <w:szCs w:val="24"/>
          <w:lang w:val="en-MY"/>
        </w:rPr>
        <w:t>M</w:t>
      </w:r>
      <w:r w:rsidR="0082104E" w:rsidRPr="009E47A3">
        <w:rPr>
          <w:rFonts w:ascii="Arial" w:eastAsia="Arial" w:hAnsi="Arial" w:cs="Arial"/>
          <w:b/>
          <w:i/>
          <w:spacing w:val="-1"/>
          <w:sz w:val="24"/>
          <w:szCs w:val="24"/>
          <w:lang w:val="en-MY"/>
        </w:rPr>
        <w:t xml:space="preserve">AY </w:t>
      </w:r>
      <w:r w:rsidRPr="009E47A3">
        <w:rPr>
          <w:rFonts w:ascii="Arial" w:eastAsia="Arial" w:hAnsi="Arial" w:cs="Arial"/>
          <w:b/>
          <w:i/>
          <w:spacing w:val="1"/>
          <w:sz w:val="24"/>
          <w:szCs w:val="24"/>
          <w:lang w:val="en-MY"/>
        </w:rPr>
        <w:t>20</w:t>
      </w:r>
      <w:r w:rsidRPr="009E47A3">
        <w:rPr>
          <w:rFonts w:ascii="Arial" w:eastAsia="Arial" w:hAnsi="Arial" w:cs="Arial"/>
          <w:b/>
          <w:i/>
          <w:spacing w:val="-1"/>
          <w:sz w:val="24"/>
          <w:szCs w:val="24"/>
          <w:lang w:val="en-MY"/>
        </w:rPr>
        <w:t>2</w:t>
      </w:r>
      <w:r w:rsidRPr="009E47A3">
        <w:rPr>
          <w:rFonts w:ascii="Arial" w:eastAsia="Arial" w:hAnsi="Arial" w:cs="Arial"/>
          <w:b/>
          <w:i/>
          <w:sz w:val="24"/>
          <w:szCs w:val="24"/>
          <w:lang w:val="en-MY"/>
        </w:rPr>
        <w:t xml:space="preserve">6 </w:t>
      </w:r>
      <w:r w:rsidRPr="009E47A3">
        <w:rPr>
          <w:rFonts w:ascii="Arial" w:eastAsia="Arial" w:hAnsi="Arial" w:cs="Arial"/>
          <w:i/>
          <w:sz w:val="24"/>
          <w:szCs w:val="24"/>
          <w:lang w:val="en-MY"/>
        </w:rPr>
        <w:t>– To</w:t>
      </w:r>
      <w:r w:rsidRPr="009E47A3">
        <w:rPr>
          <w:rFonts w:ascii="Arial" w:eastAsia="Arial" w:hAnsi="Arial" w:cs="Arial"/>
          <w:i/>
          <w:spacing w:val="-1"/>
          <w:sz w:val="24"/>
          <w:szCs w:val="24"/>
          <w:lang w:val="en-MY"/>
        </w:rPr>
        <w:t>d</w:t>
      </w:r>
      <w:r w:rsidRPr="009E47A3">
        <w:rPr>
          <w:rFonts w:ascii="Arial" w:eastAsia="Arial" w:hAnsi="Arial" w:cs="Arial"/>
          <w:i/>
          <w:spacing w:val="1"/>
          <w:sz w:val="24"/>
          <w:szCs w:val="24"/>
          <w:lang w:val="en-MY"/>
        </w:rPr>
        <w:t>a</w:t>
      </w:r>
      <w:r w:rsidRPr="009E47A3">
        <w:rPr>
          <w:rFonts w:ascii="Arial" w:eastAsia="Arial" w:hAnsi="Arial" w:cs="Arial"/>
          <w:i/>
          <w:sz w:val="24"/>
          <w:szCs w:val="24"/>
          <w:lang w:val="en-MY"/>
        </w:rPr>
        <w:t>y, t</w:t>
      </w:r>
      <w:r w:rsidRPr="009E47A3">
        <w:rPr>
          <w:rFonts w:ascii="Arial" w:eastAsia="Arial" w:hAnsi="Arial" w:cs="Arial"/>
          <w:i/>
          <w:spacing w:val="1"/>
          <w:sz w:val="24"/>
          <w:szCs w:val="24"/>
          <w:lang w:val="en-MY"/>
        </w:rPr>
        <w:t>h</w:t>
      </w:r>
      <w:r w:rsidRPr="009E47A3">
        <w:rPr>
          <w:rFonts w:ascii="Arial" w:eastAsia="Arial" w:hAnsi="Arial" w:cs="Arial"/>
          <w:i/>
          <w:sz w:val="24"/>
          <w:szCs w:val="24"/>
          <w:lang w:val="en-MY"/>
        </w:rPr>
        <w:t>e De</w:t>
      </w:r>
      <w:r w:rsidRPr="009E47A3">
        <w:rPr>
          <w:rFonts w:ascii="Arial" w:eastAsia="Arial" w:hAnsi="Arial" w:cs="Arial"/>
          <w:i/>
          <w:spacing w:val="-1"/>
          <w:sz w:val="24"/>
          <w:szCs w:val="24"/>
          <w:lang w:val="en-MY"/>
        </w:rPr>
        <w:t>p</w:t>
      </w:r>
      <w:r w:rsidRPr="009E47A3">
        <w:rPr>
          <w:rFonts w:ascii="Arial" w:eastAsia="Arial" w:hAnsi="Arial" w:cs="Arial"/>
          <w:i/>
          <w:spacing w:val="1"/>
          <w:sz w:val="24"/>
          <w:szCs w:val="24"/>
          <w:lang w:val="en-MY"/>
        </w:rPr>
        <w:t>a</w:t>
      </w:r>
      <w:r w:rsidRPr="009E47A3">
        <w:rPr>
          <w:rFonts w:ascii="Arial" w:eastAsia="Arial" w:hAnsi="Arial" w:cs="Arial"/>
          <w:i/>
          <w:sz w:val="24"/>
          <w:szCs w:val="24"/>
          <w:lang w:val="en-MY"/>
        </w:rPr>
        <w:t>rt</w:t>
      </w:r>
      <w:r w:rsidRPr="009E47A3">
        <w:rPr>
          <w:rFonts w:ascii="Arial" w:eastAsia="Arial" w:hAnsi="Arial" w:cs="Arial"/>
          <w:i/>
          <w:spacing w:val="-3"/>
          <w:sz w:val="24"/>
          <w:szCs w:val="24"/>
          <w:lang w:val="en-MY"/>
        </w:rPr>
        <w:t>m</w:t>
      </w:r>
      <w:r w:rsidRPr="009E47A3">
        <w:rPr>
          <w:rFonts w:ascii="Arial" w:eastAsia="Arial" w:hAnsi="Arial" w:cs="Arial"/>
          <w:i/>
          <w:spacing w:val="1"/>
          <w:sz w:val="24"/>
          <w:szCs w:val="24"/>
          <w:lang w:val="en-MY"/>
        </w:rPr>
        <w:t>en</w:t>
      </w:r>
      <w:r w:rsidRPr="009E47A3">
        <w:rPr>
          <w:rFonts w:ascii="Arial" w:eastAsia="Arial" w:hAnsi="Arial" w:cs="Arial"/>
          <w:i/>
          <w:sz w:val="24"/>
          <w:szCs w:val="24"/>
          <w:lang w:val="en-MY"/>
        </w:rPr>
        <w:t xml:space="preserve">t </w:t>
      </w:r>
      <w:r w:rsidRPr="009E47A3">
        <w:rPr>
          <w:rFonts w:ascii="Arial" w:eastAsia="Arial" w:hAnsi="Arial" w:cs="Arial"/>
          <w:i/>
          <w:spacing w:val="1"/>
          <w:sz w:val="24"/>
          <w:szCs w:val="24"/>
          <w:lang w:val="en-MY"/>
        </w:rPr>
        <w:t>o</w:t>
      </w:r>
      <w:r w:rsidRPr="009E47A3">
        <w:rPr>
          <w:rFonts w:ascii="Arial" w:eastAsia="Arial" w:hAnsi="Arial" w:cs="Arial"/>
          <w:i/>
          <w:sz w:val="24"/>
          <w:szCs w:val="24"/>
          <w:lang w:val="en-MY"/>
        </w:rPr>
        <w:t>f St</w:t>
      </w:r>
      <w:r w:rsidRPr="009E47A3">
        <w:rPr>
          <w:rFonts w:ascii="Arial" w:eastAsia="Arial" w:hAnsi="Arial" w:cs="Arial"/>
          <w:i/>
          <w:spacing w:val="1"/>
          <w:sz w:val="24"/>
          <w:szCs w:val="24"/>
          <w:lang w:val="en-MY"/>
        </w:rPr>
        <w:t>a</w:t>
      </w:r>
      <w:r w:rsidRPr="009E47A3">
        <w:rPr>
          <w:rFonts w:ascii="Arial" w:eastAsia="Arial" w:hAnsi="Arial" w:cs="Arial"/>
          <w:i/>
          <w:sz w:val="24"/>
          <w:szCs w:val="24"/>
          <w:lang w:val="en-MY"/>
        </w:rPr>
        <w:t xml:space="preserve">tistics, </w:t>
      </w:r>
      <w:r w:rsidRPr="009E47A3">
        <w:rPr>
          <w:rFonts w:ascii="Arial" w:eastAsia="Arial" w:hAnsi="Arial" w:cs="Arial"/>
          <w:i/>
          <w:spacing w:val="-1"/>
          <w:sz w:val="24"/>
          <w:szCs w:val="24"/>
          <w:lang w:val="en-MY"/>
        </w:rPr>
        <w:t>M</w:t>
      </w:r>
      <w:r w:rsidRPr="009E47A3">
        <w:rPr>
          <w:rFonts w:ascii="Arial" w:eastAsia="Arial" w:hAnsi="Arial" w:cs="Arial"/>
          <w:i/>
          <w:spacing w:val="1"/>
          <w:sz w:val="24"/>
          <w:szCs w:val="24"/>
          <w:lang w:val="en-MY"/>
        </w:rPr>
        <w:t>a</w:t>
      </w:r>
      <w:r w:rsidRPr="009E47A3">
        <w:rPr>
          <w:rFonts w:ascii="Arial" w:eastAsia="Arial" w:hAnsi="Arial" w:cs="Arial"/>
          <w:i/>
          <w:spacing w:val="-3"/>
          <w:sz w:val="24"/>
          <w:szCs w:val="24"/>
          <w:lang w:val="en-MY"/>
        </w:rPr>
        <w:t>l</w:t>
      </w:r>
      <w:r w:rsidRPr="009E47A3">
        <w:rPr>
          <w:rFonts w:ascii="Arial" w:eastAsia="Arial" w:hAnsi="Arial" w:cs="Arial"/>
          <w:i/>
          <w:spacing w:val="1"/>
          <w:sz w:val="24"/>
          <w:szCs w:val="24"/>
          <w:lang w:val="en-MY"/>
        </w:rPr>
        <w:t>a</w:t>
      </w:r>
      <w:r w:rsidRPr="009E47A3">
        <w:rPr>
          <w:rFonts w:ascii="Arial" w:eastAsia="Arial" w:hAnsi="Arial" w:cs="Arial"/>
          <w:i/>
          <w:sz w:val="24"/>
          <w:szCs w:val="24"/>
          <w:lang w:val="en-MY"/>
        </w:rPr>
        <w:t>ysia</w:t>
      </w:r>
      <w:r w:rsidRPr="009E47A3">
        <w:rPr>
          <w:rFonts w:ascii="Arial" w:eastAsia="Arial" w:hAnsi="Arial" w:cs="Arial"/>
          <w:sz w:val="24"/>
          <w:szCs w:val="24"/>
          <w:lang w:val="en-MY"/>
        </w:rPr>
        <w:t xml:space="preserve"> </w:t>
      </w:r>
      <w:r w:rsidRPr="009E47A3">
        <w:rPr>
          <w:rFonts w:ascii="Arial" w:eastAsia="Arial" w:hAnsi="Arial" w:cs="Arial"/>
          <w:i/>
          <w:sz w:val="24"/>
          <w:szCs w:val="24"/>
          <w:lang w:val="en-MY"/>
        </w:rPr>
        <w:t>(</w:t>
      </w:r>
      <w:r w:rsidRPr="009E47A3">
        <w:rPr>
          <w:rFonts w:ascii="Arial" w:eastAsia="Arial" w:hAnsi="Arial" w:cs="Arial"/>
          <w:i/>
          <w:spacing w:val="-1"/>
          <w:sz w:val="24"/>
          <w:szCs w:val="24"/>
          <w:lang w:val="en-MY"/>
        </w:rPr>
        <w:t>D</w:t>
      </w:r>
      <w:r w:rsidRPr="009E47A3">
        <w:rPr>
          <w:rFonts w:ascii="Arial" w:eastAsia="Arial" w:hAnsi="Arial" w:cs="Arial"/>
          <w:i/>
          <w:sz w:val="24"/>
          <w:szCs w:val="24"/>
          <w:lang w:val="en-MY"/>
        </w:rPr>
        <w:t>O</w:t>
      </w:r>
      <w:r w:rsidRPr="009E47A3">
        <w:rPr>
          <w:rFonts w:ascii="Arial" w:eastAsia="Arial" w:hAnsi="Arial" w:cs="Arial"/>
          <w:i/>
          <w:spacing w:val="1"/>
          <w:sz w:val="24"/>
          <w:szCs w:val="24"/>
          <w:lang w:val="en-MY"/>
        </w:rPr>
        <w:t>S</w:t>
      </w:r>
      <w:r w:rsidRPr="009E47A3">
        <w:rPr>
          <w:rFonts w:ascii="Arial" w:eastAsia="Arial" w:hAnsi="Arial" w:cs="Arial"/>
          <w:i/>
          <w:spacing w:val="-1"/>
          <w:sz w:val="24"/>
          <w:szCs w:val="24"/>
          <w:lang w:val="en-MY"/>
        </w:rPr>
        <w:t>M</w:t>
      </w:r>
      <w:r w:rsidRPr="009E47A3">
        <w:rPr>
          <w:rFonts w:ascii="Arial" w:eastAsia="Arial" w:hAnsi="Arial" w:cs="Arial"/>
          <w:i/>
          <w:sz w:val="24"/>
          <w:szCs w:val="24"/>
          <w:lang w:val="en-MY"/>
        </w:rPr>
        <w:t>) rele</w:t>
      </w:r>
      <w:r w:rsidRPr="009E47A3">
        <w:rPr>
          <w:rFonts w:ascii="Arial" w:eastAsia="Arial" w:hAnsi="Arial" w:cs="Arial"/>
          <w:i/>
          <w:spacing w:val="1"/>
          <w:sz w:val="24"/>
          <w:szCs w:val="24"/>
          <w:lang w:val="en-MY"/>
        </w:rPr>
        <w:t>a</w:t>
      </w:r>
      <w:r w:rsidRPr="009E47A3">
        <w:rPr>
          <w:rFonts w:ascii="Arial" w:eastAsia="Arial" w:hAnsi="Arial" w:cs="Arial"/>
          <w:i/>
          <w:sz w:val="24"/>
          <w:szCs w:val="24"/>
          <w:lang w:val="en-MY"/>
        </w:rPr>
        <w:t>s</w:t>
      </w:r>
      <w:r w:rsidRPr="009E47A3">
        <w:rPr>
          <w:rFonts w:ascii="Arial" w:eastAsia="Arial" w:hAnsi="Arial" w:cs="Arial"/>
          <w:i/>
          <w:spacing w:val="1"/>
          <w:sz w:val="24"/>
          <w:szCs w:val="24"/>
          <w:lang w:val="en-MY"/>
        </w:rPr>
        <w:t>e</w:t>
      </w:r>
      <w:r w:rsidRPr="009E47A3">
        <w:rPr>
          <w:rFonts w:ascii="Arial" w:eastAsia="Arial" w:hAnsi="Arial" w:cs="Arial"/>
          <w:i/>
          <w:sz w:val="24"/>
          <w:szCs w:val="24"/>
          <w:lang w:val="en-MY"/>
        </w:rPr>
        <w:t xml:space="preserve">d </w:t>
      </w:r>
      <w:r w:rsidRPr="009E47A3">
        <w:rPr>
          <w:rFonts w:ascii="Arial" w:eastAsia="Arial" w:hAnsi="Arial" w:cs="Arial"/>
          <w:i/>
          <w:spacing w:val="-2"/>
          <w:sz w:val="24"/>
          <w:szCs w:val="24"/>
          <w:lang w:val="en-MY"/>
        </w:rPr>
        <w:t>t</w:t>
      </w:r>
      <w:r w:rsidRPr="009E47A3">
        <w:rPr>
          <w:rFonts w:ascii="Arial" w:eastAsia="Arial" w:hAnsi="Arial" w:cs="Arial"/>
          <w:i/>
          <w:spacing w:val="1"/>
          <w:sz w:val="24"/>
          <w:szCs w:val="24"/>
          <w:lang w:val="en-MY"/>
        </w:rPr>
        <w:t>h</w:t>
      </w:r>
      <w:r w:rsidRPr="009E47A3">
        <w:rPr>
          <w:rFonts w:ascii="Arial" w:eastAsia="Arial" w:hAnsi="Arial" w:cs="Arial"/>
          <w:i/>
          <w:sz w:val="24"/>
          <w:szCs w:val="24"/>
          <w:lang w:val="en-MY"/>
        </w:rPr>
        <w:t xml:space="preserve">e </w:t>
      </w:r>
      <w:r w:rsidRPr="009E47A3">
        <w:rPr>
          <w:rFonts w:ascii="Arial" w:eastAsia="Arial" w:hAnsi="Arial" w:cs="Arial"/>
          <w:b/>
          <w:i/>
          <w:spacing w:val="-1"/>
          <w:sz w:val="24"/>
          <w:szCs w:val="24"/>
          <w:lang w:val="en-MY"/>
        </w:rPr>
        <w:t>M</w:t>
      </w:r>
      <w:r w:rsidRPr="009E47A3">
        <w:rPr>
          <w:rFonts w:ascii="Arial" w:eastAsia="Arial" w:hAnsi="Arial" w:cs="Arial"/>
          <w:b/>
          <w:i/>
          <w:spacing w:val="1"/>
          <w:sz w:val="24"/>
          <w:szCs w:val="24"/>
          <w:lang w:val="en-MY"/>
        </w:rPr>
        <w:t>a</w:t>
      </w:r>
      <w:r w:rsidRPr="009E47A3">
        <w:rPr>
          <w:rFonts w:ascii="Arial" w:eastAsia="Arial" w:hAnsi="Arial" w:cs="Arial"/>
          <w:b/>
          <w:i/>
          <w:sz w:val="24"/>
          <w:szCs w:val="24"/>
          <w:lang w:val="en-MY"/>
        </w:rPr>
        <w:t>l</w:t>
      </w:r>
      <w:r w:rsidRPr="009E47A3">
        <w:rPr>
          <w:rFonts w:ascii="Arial" w:eastAsia="Arial" w:hAnsi="Arial" w:cs="Arial"/>
          <w:b/>
          <w:i/>
          <w:spacing w:val="-1"/>
          <w:sz w:val="24"/>
          <w:szCs w:val="24"/>
          <w:lang w:val="en-MY"/>
        </w:rPr>
        <w:t>a</w:t>
      </w:r>
      <w:r w:rsidRPr="009E47A3">
        <w:rPr>
          <w:rFonts w:ascii="Arial" w:eastAsia="Arial" w:hAnsi="Arial" w:cs="Arial"/>
          <w:b/>
          <w:i/>
          <w:spacing w:val="1"/>
          <w:sz w:val="24"/>
          <w:szCs w:val="24"/>
          <w:lang w:val="en-MY"/>
        </w:rPr>
        <w:t>ys</w:t>
      </w:r>
      <w:r w:rsidRPr="009E47A3">
        <w:rPr>
          <w:rFonts w:ascii="Arial" w:eastAsia="Arial" w:hAnsi="Arial" w:cs="Arial"/>
          <w:b/>
          <w:i/>
          <w:spacing w:val="-2"/>
          <w:sz w:val="24"/>
          <w:szCs w:val="24"/>
          <w:lang w:val="en-MY"/>
        </w:rPr>
        <w:t>i</w:t>
      </w:r>
      <w:r w:rsidRPr="009E47A3">
        <w:rPr>
          <w:rFonts w:ascii="Arial" w:eastAsia="Arial" w:hAnsi="Arial" w:cs="Arial"/>
          <w:b/>
          <w:i/>
          <w:spacing w:val="1"/>
          <w:sz w:val="24"/>
          <w:szCs w:val="24"/>
          <w:lang w:val="en-MY"/>
        </w:rPr>
        <w:t>a</w:t>
      </w:r>
      <w:r w:rsidRPr="009E47A3">
        <w:rPr>
          <w:rFonts w:ascii="Arial" w:eastAsia="Arial" w:hAnsi="Arial" w:cs="Arial"/>
          <w:b/>
          <w:i/>
          <w:sz w:val="24"/>
          <w:szCs w:val="24"/>
          <w:lang w:val="en-MY"/>
        </w:rPr>
        <w:t>n E</w:t>
      </w:r>
      <w:r w:rsidRPr="009E47A3">
        <w:rPr>
          <w:rFonts w:ascii="Arial" w:eastAsia="Arial" w:hAnsi="Arial" w:cs="Arial"/>
          <w:b/>
          <w:i/>
          <w:spacing w:val="1"/>
          <w:sz w:val="24"/>
          <w:szCs w:val="24"/>
          <w:lang w:val="en-MY"/>
        </w:rPr>
        <w:t>c</w:t>
      </w:r>
      <w:r w:rsidRPr="009E47A3">
        <w:rPr>
          <w:rFonts w:ascii="Arial" w:eastAsia="Arial" w:hAnsi="Arial" w:cs="Arial"/>
          <w:b/>
          <w:i/>
          <w:sz w:val="24"/>
          <w:szCs w:val="24"/>
          <w:lang w:val="en-MY"/>
        </w:rPr>
        <w:t>onom</w:t>
      </w:r>
      <w:r w:rsidRPr="009E47A3">
        <w:rPr>
          <w:rFonts w:ascii="Arial" w:eastAsia="Arial" w:hAnsi="Arial" w:cs="Arial"/>
          <w:b/>
          <w:i/>
          <w:spacing w:val="-2"/>
          <w:sz w:val="24"/>
          <w:szCs w:val="24"/>
          <w:lang w:val="en-MY"/>
        </w:rPr>
        <w:t>i</w:t>
      </w:r>
      <w:r w:rsidRPr="009E47A3">
        <w:rPr>
          <w:rFonts w:ascii="Arial" w:eastAsia="Arial" w:hAnsi="Arial" w:cs="Arial"/>
          <w:b/>
          <w:i/>
          <w:sz w:val="24"/>
          <w:szCs w:val="24"/>
          <w:lang w:val="en-MY"/>
        </w:rPr>
        <w:t>c Stat</w:t>
      </w:r>
      <w:r w:rsidRPr="009E47A3">
        <w:rPr>
          <w:rFonts w:ascii="Arial" w:eastAsia="Arial" w:hAnsi="Arial" w:cs="Arial"/>
          <w:b/>
          <w:i/>
          <w:spacing w:val="-2"/>
          <w:sz w:val="24"/>
          <w:szCs w:val="24"/>
          <w:lang w:val="en-MY"/>
        </w:rPr>
        <w:t>i</w:t>
      </w:r>
      <w:r w:rsidRPr="009E47A3">
        <w:rPr>
          <w:rFonts w:ascii="Arial" w:eastAsia="Arial" w:hAnsi="Arial" w:cs="Arial"/>
          <w:b/>
          <w:i/>
          <w:spacing w:val="1"/>
          <w:sz w:val="24"/>
          <w:szCs w:val="24"/>
          <w:lang w:val="en-MY"/>
        </w:rPr>
        <w:t>s</w:t>
      </w:r>
      <w:r w:rsidRPr="009E47A3">
        <w:rPr>
          <w:rFonts w:ascii="Arial" w:eastAsia="Arial" w:hAnsi="Arial" w:cs="Arial"/>
          <w:b/>
          <w:i/>
          <w:sz w:val="24"/>
          <w:szCs w:val="24"/>
          <w:lang w:val="en-MY"/>
        </w:rPr>
        <w:t>tics R</w:t>
      </w:r>
      <w:r w:rsidRPr="009E47A3">
        <w:rPr>
          <w:rFonts w:ascii="Arial" w:eastAsia="Arial" w:hAnsi="Arial" w:cs="Arial"/>
          <w:b/>
          <w:i/>
          <w:spacing w:val="-2"/>
          <w:sz w:val="24"/>
          <w:szCs w:val="24"/>
          <w:lang w:val="en-MY"/>
        </w:rPr>
        <w:t>e</w:t>
      </w:r>
      <w:r w:rsidRPr="009E47A3">
        <w:rPr>
          <w:rFonts w:ascii="Arial" w:eastAsia="Arial" w:hAnsi="Arial" w:cs="Arial"/>
          <w:b/>
          <w:i/>
          <w:spacing w:val="1"/>
          <w:sz w:val="24"/>
          <w:szCs w:val="24"/>
          <w:lang w:val="en-MY"/>
        </w:rPr>
        <w:t>v</w:t>
      </w:r>
      <w:r w:rsidRPr="009E47A3">
        <w:rPr>
          <w:rFonts w:ascii="Arial" w:eastAsia="Arial" w:hAnsi="Arial" w:cs="Arial"/>
          <w:b/>
          <w:i/>
          <w:sz w:val="24"/>
          <w:szCs w:val="24"/>
          <w:lang w:val="en-MY"/>
        </w:rPr>
        <w:t>i</w:t>
      </w:r>
      <w:r w:rsidRPr="009E47A3">
        <w:rPr>
          <w:rFonts w:ascii="Arial" w:eastAsia="Arial" w:hAnsi="Arial" w:cs="Arial"/>
          <w:b/>
          <w:i/>
          <w:spacing w:val="1"/>
          <w:sz w:val="24"/>
          <w:szCs w:val="24"/>
          <w:lang w:val="en-MY"/>
        </w:rPr>
        <w:t>e</w:t>
      </w:r>
      <w:r w:rsidRPr="009E47A3">
        <w:rPr>
          <w:rFonts w:ascii="Arial" w:eastAsia="Arial" w:hAnsi="Arial" w:cs="Arial"/>
          <w:b/>
          <w:i/>
          <w:sz w:val="24"/>
          <w:szCs w:val="24"/>
          <w:lang w:val="en-MY"/>
        </w:rPr>
        <w:t>w</w:t>
      </w:r>
      <w:r w:rsidRPr="009E47A3">
        <w:rPr>
          <w:rFonts w:ascii="Arial" w:eastAsia="Arial" w:hAnsi="Arial" w:cs="Arial"/>
          <w:b/>
          <w:i/>
          <w:spacing w:val="65"/>
          <w:sz w:val="24"/>
          <w:szCs w:val="24"/>
          <w:lang w:val="en-MY"/>
        </w:rPr>
        <w:t xml:space="preserve"> </w:t>
      </w:r>
      <w:r w:rsidRPr="009E47A3">
        <w:rPr>
          <w:rFonts w:ascii="Arial" w:eastAsia="Arial" w:hAnsi="Arial" w:cs="Arial"/>
          <w:b/>
          <w:i/>
          <w:sz w:val="24"/>
          <w:szCs w:val="24"/>
          <w:lang w:val="en-MY"/>
        </w:rPr>
        <w:t>(</w:t>
      </w:r>
      <w:r w:rsidRPr="009E47A3">
        <w:rPr>
          <w:rFonts w:ascii="Arial" w:eastAsia="Arial" w:hAnsi="Arial" w:cs="Arial"/>
          <w:b/>
          <w:i/>
          <w:spacing w:val="-1"/>
          <w:sz w:val="24"/>
          <w:szCs w:val="24"/>
          <w:lang w:val="en-MY"/>
        </w:rPr>
        <w:t>M</w:t>
      </w:r>
      <w:r w:rsidRPr="009E47A3">
        <w:rPr>
          <w:rFonts w:ascii="Arial" w:eastAsia="Arial" w:hAnsi="Arial" w:cs="Arial"/>
          <w:b/>
          <w:i/>
          <w:sz w:val="24"/>
          <w:szCs w:val="24"/>
          <w:lang w:val="en-MY"/>
        </w:rPr>
        <w:t>ESR</w:t>
      </w:r>
      <w:r w:rsidRPr="009E47A3">
        <w:rPr>
          <w:rFonts w:ascii="Arial" w:eastAsia="Arial" w:hAnsi="Arial" w:cs="Arial"/>
          <w:b/>
          <w:i/>
          <w:spacing w:val="-1"/>
          <w:sz w:val="24"/>
          <w:szCs w:val="24"/>
          <w:lang w:val="en-MY"/>
        </w:rPr>
        <w:t>)</w:t>
      </w:r>
      <w:r w:rsidRPr="009E47A3">
        <w:rPr>
          <w:rFonts w:ascii="Arial" w:eastAsia="Arial" w:hAnsi="Arial" w:cs="Arial"/>
          <w:b/>
          <w:i/>
          <w:sz w:val="24"/>
          <w:szCs w:val="24"/>
          <w:lang w:val="en-MY"/>
        </w:rPr>
        <w:t>, Volu</w:t>
      </w:r>
      <w:r w:rsidRPr="009E47A3">
        <w:rPr>
          <w:rFonts w:ascii="Arial" w:eastAsia="Arial" w:hAnsi="Arial" w:cs="Arial"/>
          <w:b/>
          <w:i/>
          <w:spacing w:val="-2"/>
          <w:sz w:val="24"/>
          <w:szCs w:val="24"/>
          <w:lang w:val="en-MY"/>
        </w:rPr>
        <w:t>m</w:t>
      </w:r>
      <w:r w:rsidRPr="009E47A3">
        <w:rPr>
          <w:rFonts w:ascii="Arial" w:eastAsia="Arial" w:hAnsi="Arial" w:cs="Arial"/>
          <w:b/>
          <w:i/>
          <w:sz w:val="24"/>
          <w:szCs w:val="24"/>
          <w:lang w:val="en-MY"/>
        </w:rPr>
        <w:t>e</w:t>
      </w:r>
      <w:r w:rsidRPr="009E47A3">
        <w:rPr>
          <w:rFonts w:ascii="Arial" w:eastAsia="Arial" w:hAnsi="Arial" w:cs="Arial"/>
          <w:sz w:val="24"/>
          <w:szCs w:val="24"/>
          <w:lang w:val="en-MY"/>
        </w:rPr>
        <w:t xml:space="preserve"> </w:t>
      </w:r>
      <w:r w:rsidR="00340749" w:rsidRPr="009E47A3">
        <w:rPr>
          <w:rFonts w:ascii="Arial" w:eastAsia="Arial" w:hAnsi="Arial" w:cs="Arial"/>
          <w:b/>
          <w:i/>
          <w:spacing w:val="1"/>
          <w:sz w:val="24"/>
          <w:szCs w:val="24"/>
          <w:lang w:val="en-MY"/>
        </w:rPr>
        <w:t>5</w:t>
      </w:r>
      <w:r w:rsidRPr="009E47A3">
        <w:rPr>
          <w:rFonts w:ascii="Arial" w:eastAsia="Arial" w:hAnsi="Arial" w:cs="Arial"/>
          <w:b/>
          <w:i/>
          <w:sz w:val="24"/>
          <w:szCs w:val="24"/>
          <w:lang w:val="en-MY"/>
        </w:rPr>
        <w:t>/</w:t>
      </w:r>
      <w:r w:rsidRPr="009E47A3">
        <w:rPr>
          <w:rFonts w:ascii="Arial" w:eastAsia="Arial" w:hAnsi="Arial" w:cs="Arial"/>
          <w:b/>
          <w:i/>
          <w:spacing w:val="1"/>
          <w:sz w:val="24"/>
          <w:szCs w:val="24"/>
          <w:lang w:val="en-MY"/>
        </w:rPr>
        <w:t>2</w:t>
      </w:r>
      <w:r w:rsidRPr="009E47A3">
        <w:rPr>
          <w:rFonts w:ascii="Arial" w:eastAsia="Arial" w:hAnsi="Arial" w:cs="Arial"/>
          <w:b/>
          <w:i/>
          <w:spacing w:val="-1"/>
          <w:sz w:val="24"/>
          <w:szCs w:val="24"/>
          <w:lang w:val="en-MY"/>
        </w:rPr>
        <w:t>0</w:t>
      </w:r>
      <w:r w:rsidRPr="009E47A3">
        <w:rPr>
          <w:rFonts w:ascii="Arial" w:eastAsia="Arial" w:hAnsi="Arial" w:cs="Arial"/>
          <w:b/>
          <w:i/>
          <w:spacing w:val="1"/>
          <w:sz w:val="24"/>
          <w:szCs w:val="24"/>
          <w:lang w:val="en-MY"/>
        </w:rPr>
        <w:t>26</w:t>
      </w:r>
      <w:r w:rsidRPr="009E47A3">
        <w:rPr>
          <w:rFonts w:ascii="Arial" w:eastAsia="Arial" w:hAnsi="Arial" w:cs="Arial"/>
          <w:b/>
          <w:i/>
          <w:sz w:val="24"/>
          <w:szCs w:val="24"/>
          <w:lang w:val="en-MY"/>
        </w:rPr>
        <w:t>.</w:t>
      </w:r>
      <w:r w:rsidRPr="009E47A3">
        <w:rPr>
          <w:rFonts w:ascii="Arial" w:eastAsia="Arial" w:hAnsi="Arial" w:cs="Arial"/>
          <w:b/>
          <w:i/>
          <w:spacing w:val="2"/>
          <w:sz w:val="24"/>
          <w:szCs w:val="24"/>
          <w:lang w:val="en-MY"/>
        </w:rPr>
        <w:t xml:space="preserve"> </w:t>
      </w:r>
      <w:r w:rsidR="0038164A" w:rsidRPr="009E47A3">
        <w:rPr>
          <w:rFonts w:ascii="Arial" w:eastAsia="Arial" w:hAnsi="Arial" w:cs="Arial"/>
          <w:i/>
          <w:sz w:val="24"/>
          <w:szCs w:val="24"/>
          <w:lang w:val="en-MY"/>
        </w:rPr>
        <w:t xml:space="preserve">This edition </w:t>
      </w:r>
      <w:r w:rsidR="00A746CA" w:rsidRPr="009E47A3">
        <w:rPr>
          <w:rFonts w:ascii="Arial" w:eastAsia="Arial" w:hAnsi="Arial" w:cs="Arial"/>
          <w:i/>
          <w:sz w:val="24"/>
          <w:szCs w:val="24"/>
          <w:lang w:val="en-MY"/>
        </w:rPr>
        <w:t xml:space="preserve">focuses on the recent </w:t>
      </w:r>
      <w:r w:rsidR="0038164A" w:rsidRPr="009E47A3">
        <w:rPr>
          <w:rFonts w:ascii="Arial" w:eastAsia="Arial" w:hAnsi="Arial" w:cs="Arial"/>
          <w:i/>
          <w:sz w:val="24"/>
          <w:szCs w:val="24"/>
          <w:lang w:val="en-MY"/>
        </w:rPr>
        <w:t xml:space="preserve">statistics released </w:t>
      </w:r>
      <w:r w:rsidR="00D2068B">
        <w:rPr>
          <w:rFonts w:ascii="Arial" w:eastAsia="Arial" w:hAnsi="Arial" w:cs="Arial"/>
          <w:i/>
          <w:sz w:val="24"/>
          <w:szCs w:val="24"/>
          <w:lang w:val="en-MY"/>
        </w:rPr>
        <w:t xml:space="preserve">for Q1 </w:t>
      </w:r>
      <w:bookmarkStart w:id="0" w:name="_GoBack"/>
      <w:bookmarkEnd w:id="0"/>
      <w:r w:rsidR="0038164A" w:rsidRPr="009E47A3">
        <w:rPr>
          <w:rFonts w:ascii="Arial" w:eastAsia="Arial" w:hAnsi="Arial" w:cs="Arial"/>
          <w:i/>
          <w:sz w:val="24"/>
          <w:szCs w:val="24"/>
          <w:lang w:val="en-MY"/>
        </w:rPr>
        <w:t xml:space="preserve">2026 </w:t>
      </w:r>
      <w:r w:rsidR="0095278A" w:rsidRPr="009E47A3">
        <w:rPr>
          <w:rFonts w:ascii="Arial" w:eastAsia="Arial" w:hAnsi="Arial" w:cs="Arial"/>
          <w:i/>
          <w:sz w:val="24"/>
          <w:szCs w:val="24"/>
          <w:lang w:val="en-MY"/>
        </w:rPr>
        <w:t xml:space="preserve">and some forthcoming statistics </w:t>
      </w:r>
      <w:r w:rsidR="0038164A" w:rsidRPr="009E47A3">
        <w:rPr>
          <w:rFonts w:ascii="Arial" w:eastAsia="Arial" w:hAnsi="Arial" w:cs="Arial"/>
          <w:i/>
          <w:sz w:val="24"/>
          <w:szCs w:val="24"/>
          <w:lang w:val="en-MY"/>
        </w:rPr>
        <w:t xml:space="preserve">for </w:t>
      </w:r>
      <w:r w:rsidR="00340749" w:rsidRPr="009E47A3">
        <w:rPr>
          <w:rFonts w:ascii="Arial" w:eastAsia="Arial" w:hAnsi="Arial" w:cs="Arial"/>
          <w:i/>
          <w:sz w:val="24"/>
          <w:szCs w:val="24"/>
          <w:lang w:val="en-MY"/>
        </w:rPr>
        <w:t>April</w:t>
      </w:r>
      <w:r w:rsidR="0038164A" w:rsidRPr="009E47A3">
        <w:rPr>
          <w:rFonts w:ascii="Arial" w:eastAsia="Arial" w:hAnsi="Arial" w:cs="Arial"/>
          <w:i/>
          <w:sz w:val="24"/>
          <w:szCs w:val="24"/>
          <w:lang w:val="en-MY"/>
        </w:rPr>
        <w:t xml:space="preserve"> 2026. It also includes a special article titled “</w:t>
      </w:r>
      <w:r w:rsidR="00584255" w:rsidRPr="009E47A3">
        <w:rPr>
          <w:rFonts w:ascii="Arial" w:eastAsia="Arial" w:hAnsi="Arial" w:cs="Arial"/>
          <w:i/>
          <w:sz w:val="24"/>
          <w:szCs w:val="24"/>
          <w:lang w:val="en-MY"/>
        </w:rPr>
        <w:t>Services Sector as the Driver of Malaysia’s Economic Growth in the Thirteenth Malaysia Plan</w:t>
      </w:r>
      <w:r w:rsidR="0038164A" w:rsidRPr="009E47A3">
        <w:rPr>
          <w:rFonts w:ascii="Arial" w:eastAsia="Arial" w:hAnsi="Arial" w:cs="Arial"/>
          <w:i/>
          <w:sz w:val="24"/>
          <w:szCs w:val="24"/>
          <w:lang w:val="en-MY"/>
        </w:rPr>
        <w:t xml:space="preserve">.” </w:t>
      </w:r>
      <w:r w:rsidR="002B2AC7" w:rsidRPr="009E47A3">
        <w:rPr>
          <w:rFonts w:ascii="Arial" w:eastAsia="Arial" w:hAnsi="Arial" w:cs="Arial"/>
          <w:i/>
          <w:sz w:val="24"/>
          <w:szCs w:val="24"/>
          <w:lang w:val="en-MY"/>
        </w:rPr>
        <w:t xml:space="preserve">The article examines how the </w:t>
      </w:r>
      <w:r w:rsidR="003877FD" w:rsidRPr="009E47A3">
        <w:rPr>
          <w:rFonts w:ascii="Arial" w:eastAsia="Arial" w:hAnsi="Arial" w:cs="Arial"/>
          <w:i/>
          <w:sz w:val="24"/>
          <w:szCs w:val="24"/>
          <w:lang w:val="en-MY"/>
        </w:rPr>
        <w:t>Services sector remains</w:t>
      </w:r>
      <w:r w:rsidR="000978D8" w:rsidRPr="009E47A3">
        <w:rPr>
          <w:rFonts w:ascii="Arial" w:eastAsia="Arial" w:hAnsi="Arial" w:cs="Arial"/>
          <w:i/>
          <w:sz w:val="24"/>
          <w:szCs w:val="24"/>
          <w:lang w:val="en-MY"/>
        </w:rPr>
        <w:t xml:space="preserve"> as</w:t>
      </w:r>
      <w:r w:rsidR="003877FD" w:rsidRPr="009E47A3">
        <w:rPr>
          <w:rFonts w:ascii="Arial" w:eastAsia="Arial" w:hAnsi="Arial" w:cs="Arial"/>
          <w:i/>
          <w:sz w:val="24"/>
          <w:szCs w:val="24"/>
          <w:lang w:val="en-MY"/>
        </w:rPr>
        <w:t xml:space="preserve"> the main pillar of Malaysia’s economic growth. Under the Thirteenth Malaysia Plan (13MP), the sector is expected to become the key driver of the country’s economic transformation through digitalisation, technological innovation, higher productivity and a greater value-added economy.</w:t>
      </w:r>
    </w:p>
    <w:p w14:paraId="54FFC22F" w14:textId="77777777" w:rsidR="003877FD" w:rsidRPr="009E47A3" w:rsidRDefault="003877FD" w:rsidP="004E218D">
      <w:pPr>
        <w:pStyle w:val="ListParagraph"/>
        <w:spacing w:after="0" w:line="300" w:lineRule="auto"/>
        <w:ind w:left="270" w:right="136"/>
        <w:jc w:val="both"/>
        <w:rPr>
          <w:rFonts w:ascii="Arial" w:eastAsia="Arial" w:hAnsi="Arial" w:cs="Arial"/>
          <w:i/>
          <w:sz w:val="24"/>
          <w:szCs w:val="24"/>
          <w:lang w:val="en-MY"/>
        </w:rPr>
      </w:pPr>
    </w:p>
    <w:p w14:paraId="266E8407" w14:textId="213891A8" w:rsidR="004E218D" w:rsidRPr="009E47A3" w:rsidRDefault="00F6503A" w:rsidP="00E757F7">
      <w:pPr>
        <w:pStyle w:val="ListParagraph"/>
        <w:spacing w:line="300" w:lineRule="auto"/>
        <w:ind w:left="270" w:right="136"/>
        <w:jc w:val="both"/>
        <w:rPr>
          <w:rFonts w:ascii="Arial" w:eastAsia="Arial" w:hAnsi="Arial" w:cs="Arial"/>
          <w:i/>
          <w:sz w:val="24"/>
          <w:szCs w:val="24"/>
          <w:lang w:val="en-MY"/>
        </w:rPr>
      </w:pPr>
      <w:r w:rsidRPr="009E47A3">
        <w:rPr>
          <w:rFonts w:ascii="Arial" w:eastAsia="Arial" w:hAnsi="Arial" w:cs="Arial"/>
          <w:i/>
          <w:sz w:val="24"/>
          <w:szCs w:val="24"/>
          <w:lang w:val="en-MY"/>
        </w:rPr>
        <w:t xml:space="preserve">Within the wider economic landscape, the International Monetary Fund’s World Economic Outlook released in April 2026 projects that the global economy will continue to expand, albeit at a slower and more moderate pace, as downside risks intensify amid the prolonged </w:t>
      </w:r>
      <w:r w:rsidR="000978D8" w:rsidRPr="009E47A3">
        <w:rPr>
          <w:rFonts w:ascii="Arial" w:eastAsia="Arial" w:hAnsi="Arial" w:cs="Arial"/>
          <w:i/>
          <w:sz w:val="24"/>
          <w:szCs w:val="24"/>
          <w:lang w:val="en-MY"/>
        </w:rPr>
        <w:t>global uncertainties</w:t>
      </w:r>
      <w:r w:rsidRPr="009E47A3">
        <w:rPr>
          <w:rFonts w:ascii="Arial" w:eastAsia="Arial" w:hAnsi="Arial" w:cs="Arial"/>
          <w:i/>
          <w:sz w:val="24"/>
          <w:szCs w:val="24"/>
          <w:lang w:val="en-MY"/>
        </w:rPr>
        <w:t xml:space="preserve">. </w:t>
      </w:r>
      <w:r w:rsidR="00B17616" w:rsidRPr="009E47A3">
        <w:rPr>
          <w:rFonts w:ascii="Arial" w:eastAsia="Arial" w:hAnsi="Arial" w:cs="Arial"/>
          <w:i/>
          <w:sz w:val="24"/>
          <w:szCs w:val="24"/>
          <w:lang w:val="en-MY"/>
        </w:rPr>
        <w:t>G</w:t>
      </w:r>
      <w:r w:rsidRPr="009E47A3">
        <w:rPr>
          <w:rFonts w:ascii="Arial" w:eastAsia="Arial" w:hAnsi="Arial" w:cs="Arial"/>
          <w:i/>
          <w:sz w:val="24"/>
          <w:szCs w:val="24"/>
          <w:lang w:val="en-MY"/>
        </w:rPr>
        <w:t xml:space="preserve">eopolitical tensions continue to </w:t>
      </w:r>
      <w:r w:rsidR="00B17616" w:rsidRPr="009E47A3">
        <w:rPr>
          <w:rFonts w:ascii="Arial" w:eastAsia="Arial" w:hAnsi="Arial" w:cs="Arial"/>
          <w:i/>
          <w:sz w:val="24"/>
          <w:szCs w:val="24"/>
          <w:lang w:val="en-MY"/>
        </w:rPr>
        <w:t>influence</w:t>
      </w:r>
      <w:r w:rsidRPr="009E47A3">
        <w:rPr>
          <w:rFonts w:ascii="Arial" w:eastAsia="Arial" w:hAnsi="Arial" w:cs="Arial"/>
          <w:i/>
          <w:sz w:val="24"/>
          <w:szCs w:val="24"/>
          <w:lang w:val="en-MY"/>
        </w:rPr>
        <w:t xml:space="preserve"> global growth and </w:t>
      </w:r>
      <w:r w:rsidR="00B17616" w:rsidRPr="009E47A3">
        <w:rPr>
          <w:rFonts w:ascii="Arial" w:eastAsia="Arial" w:hAnsi="Arial" w:cs="Arial"/>
          <w:i/>
          <w:sz w:val="24"/>
          <w:szCs w:val="24"/>
          <w:lang w:val="en-MY"/>
        </w:rPr>
        <w:t>inflation pressures.</w:t>
      </w:r>
      <w:r w:rsidRPr="009E47A3">
        <w:rPr>
          <w:rFonts w:ascii="Arial" w:eastAsia="Arial" w:hAnsi="Arial" w:cs="Arial"/>
          <w:i/>
          <w:sz w:val="24"/>
          <w:szCs w:val="24"/>
          <w:lang w:val="en-MY"/>
        </w:rPr>
        <w:t xml:space="preserve"> Global </w:t>
      </w:r>
      <w:r w:rsidR="00B17616" w:rsidRPr="009E47A3">
        <w:rPr>
          <w:rFonts w:ascii="Arial" w:eastAsia="Arial" w:hAnsi="Arial" w:cs="Arial"/>
          <w:i/>
          <w:sz w:val="24"/>
          <w:szCs w:val="24"/>
          <w:lang w:val="en-MY"/>
        </w:rPr>
        <w:t>Gross Domestic Product (</w:t>
      </w:r>
      <w:r w:rsidRPr="009E47A3">
        <w:rPr>
          <w:rFonts w:ascii="Arial" w:eastAsia="Arial" w:hAnsi="Arial" w:cs="Arial"/>
          <w:i/>
          <w:sz w:val="24"/>
          <w:szCs w:val="24"/>
          <w:lang w:val="en-MY"/>
        </w:rPr>
        <w:t>GDP</w:t>
      </w:r>
      <w:r w:rsidR="00B17616" w:rsidRPr="009E47A3">
        <w:rPr>
          <w:rFonts w:ascii="Arial" w:eastAsia="Arial" w:hAnsi="Arial" w:cs="Arial"/>
          <w:i/>
          <w:sz w:val="24"/>
          <w:szCs w:val="24"/>
          <w:lang w:val="en-MY"/>
        </w:rPr>
        <w:t>)</w:t>
      </w:r>
      <w:r w:rsidRPr="009E47A3">
        <w:rPr>
          <w:rFonts w:ascii="Arial" w:eastAsia="Arial" w:hAnsi="Arial" w:cs="Arial"/>
          <w:i/>
          <w:sz w:val="24"/>
          <w:szCs w:val="24"/>
          <w:lang w:val="en-MY"/>
        </w:rPr>
        <w:t xml:space="preserve"> is expected to grow by 3.1 per cent in 2026 and 3.2 per cent in 2027, </w:t>
      </w:r>
      <w:r w:rsidR="00B17616" w:rsidRPr="009E47A3">
        <w:rPr>
          <w:rFonts w:ascii="Arial" w:eastAsia="Arial" w:hAnsi="Arial" w:cs="Arial"/>
          <w:i/>
          <w:sz w:val="24"/>
          <w:szCs w:val="24"/>
          <w:lang w:val="en-MY"/>
        </w:rPr>
        <w:t>softening</w:t>
      </w:r>
      <w:r w:rsidRPr="009E47A3">
        <w:rPr>
          <w:rFonts w:ascii="Arial" w:eastAsia="Arial" w:hAnsi="Arial" w:cs="Arial"/>
          <w:i/>
          <w:sz w:val="24"/>
          <w:szCs w:val="24"/>
          <w:lang w:val="en-MY"/>
        </w:rPr>
        <w:t xml:space="preserve"> compared to the average growth of around 3.4 per cent recorded during 2024–2025 and below the long-term historical average of 3.7 per cent between 2000 and 2019. At the same time, global headline inflation is projected to rise to 4.4 per cent in 2026 before easing to 3.7 per cent in 2027.</w:t>
      </w:r>
    </w:p>
    <w:p w14:paraId="3E27030D" w14:textId="77777777" w:rsidR="004E218D" w:rsidRPr="009E47A3" w:rsidRDefault="004E218D" w:rsidP="004E218D">
      <w:pPr>
        <w:pStyle w:val="ListParagraph"/>
        <w:spacing w:after="0" w:line="300" w:lineRule="auto"/>
        <w:ind w:left="270" w:right="136"/>
        <w:jc w:val="both"/>
        <w:rPr>
          <w:rFonts w:ascii="Arial" w:eastAsia="Arial" w:hAnsi="Arial" w:cs="Arial"/>
          <w:i/>
          <w:sz w:val="24"/>
          <w:szCs w:val="24"/>
          <w:lang w:val="en-MY"/>
        </w:rPr>
      </w:pPr>
    </w:p>
    <w:p w14:paraId="6B14BBD0" w14:textId="70CD7BA2" w:rsidR="00605271" w:rsidRPr="009E47A3" w:rsidRDefault="004E218D" w:rsidP="0082104E">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lastRenderedPageBreak/>
        <w:t xml:space="preserve">In light of recent economic developments, Chief Statistician Malaysia, Dato’ Sri Dr. Mohd Uzir Mahidin, emphasised that Malaysia’s economy grew by 5.4 per cent in the first quarter of </w:t>
      </w:r>
      <w:r w:rsidRPr="00A3164B">
        <w:rPr>
          <w:rFonts w:ascii="Arial" w:eastAsia="Arial" w:hAnsi="Arial" w:cs="Arial"/>
          <w:i/>
          <w:color w:val="000000" w:themeColor="text1"/>
          <w:sz w:val="24"/>
          <w:szCs w:val="24"/>
          <w:lang w:val="en-MY"/>
        </w:rPr>
        <w:t xml:space="preserve">2026, moderating from 6.2 per cent in the preceding quarter. On a seasonally adjusted </w:t>
      </w:r>
      <w:r w:rsidR="00ED0811" w:rsidRPr="00A3164B">
        <w:rPr>
          <w:rFonts w:ascii="Arial" w:eastAsia="Arial" w:hAnsi="Arial" w:cs="Arial"/>
          <w:i/>
          <w:color w:val="000000" w:themeColor="text1"/>
          <w:sz w:val="24"/>
          <w:szCs w:val="24"/>
          <w:lang w:val="en-MY"/>
        </w:rPr>
        <w:t xml:space="preserve">quarterly </w:t>
      </w:r>
      <w:r w:rsidRPr="00A3164B">
        <w:rPr>
          <w:rFonts w:ascii="Arial" w:eastAsia="Arial" w:hAnsi="Arial" w:cs="Arial"/>
          <w:i/>
          <w:color w:val="000000" w:themeColor="text1"/>
          <w:sz w:val="24"/>
          <w:szCs w:val="24"/>
          <w:lang w:val="en-MY"/>
        </w:rPr>
        <w:t xml:space="preserve">basis, however, the economy registered a marginal contraction of 0.01 per cent, compared with a growth of 1.4 per cent in Q4 2025. From the supply side, the </w:t>
      </w:r>
      <w:r w:rsidR="0082104E" w:rsidRPr="00A3164B">
        <w:rPr>
          <w:rFonts w:ascii="Arial" w:eastAsia="Arial" w:hAnsi="Arial" w:cs="Arial"/>
          <w:i/>
          <w:color w:val="000000" w:themeColor="text1"/>
          <w:sz w:val="24"/>
          <w:szCs w:val="24"/>
          <w:lang w:val="en-MY"/>
        </w:rPr>
        <w:t>S</w:t>
      </w:r>
      <w:r w:rsidRPr="00A3164B">
        <w:rPr>
          <w:rFonts w:ascii="Arial" w:eastAsia="Arial" w:hAnsi="Arial" w:cs="Arial"/>
          <w:i/>
          <w:color w:val="000000" w:themeColor="text1"/>
          <w:sz w:val="24"/>
          <w:szCs w:val="24"/>
          <w:lang w:val="en-MY"/>
        </w:rPr>
        <w:t xml:space="preserve">ervices sector remained the key driver of growth, while most other sectors continued to record positive performance, except for </w:t>
      </w:r>
      <w:r w:rsidR="0082104E" w:rsidRPr="00A3164B">
        <w:rPr>
          <w:rFonts w:ascii="Arial" w:eastAsia="Arial" w:hAnsi="Arial" w:cs="Arial"/>
          <w:i/>
          <w:color w:val="000000" w:themeColor="text1"/>
          <w:sz w:val="24"/>
          <w:szCs w:val="24"/>
          <w:lang w:val="en-MY"/>
        </w:rPr>
        <w:t>M</w:t>
      </w:r>
      <w:r w:rsidRPr="00A3164B">
        <w:rPr>
          <w:rFonts w:ascii="Arial" w:eastAsia="Arial" w:hAnsi="Arial" w:cs="Arial"/>
          <w:i/>
          <w:color w:val="000000" w:themeColor="text1"/>
          <w:sz w:val="24"/>
          <w:szCs w:val="24"/>
          <w:lang w:val="en-MY"/>
        </w:rPr>
        <w:t xml:space="preserve">ining and quarrying, which posted a decline. </w:t>
      </w:r>
      <w:r w:rsidRPr="009E47A3">
        <w:rPr>
          <w:rFonts w:ascii="Arial" w:eastAsia="Arial" w:hAnsi="Arial" w:cs="Arial"/>
          <w:i/>
          <w:sz w:val="24"/>
          <w:szCs w:val="24"/>
          <w:lang w:val="en-MY"/>
        </w:rPr>
        <w:t>On the demand side, economic expansion was supported by private final consumption expenditure and gross fixed capital formation.</w:t>
      </w:r>
    </w:p>
    <w:p w14:paraId="7FAD2C2F" w14:textId="77777777" w:rsidR="0082104E" w:rsidRPr="009E47A3" w:rsidRDefault="0082104E" w:rsidP="0082104E">
      <w:pPr>
        <w:spacing w:line="300" w:lineRule="auto"/>
        <w:ind w:left="240" w:right="143"/>
        <w:jc w:val="both"/>
        <w:rPr>
          <w:rFonts w:ascii="Arial" w:eastAsia="Arial" w:hAnsi="Arial" w:cs="Arial"/>
          <w:i/>
          <w:sz w:val="24"/>
          <w:szCs w:val="24"/>
          <w:lang w:val="en-MY"/>
        </w:rPr>
      </w:pPr>
    </w:p>
    <w:p w14:paraId="239CE4E8" w14:textId="2661FD15" w:rsidR="00605271" w:rsidRPr="009E47A3" w:rsidRDefault="00820754" w:rsidP="00605271">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 xml:space="preserve">Despite a more challenging external environment, the Industrial Production Index (IPI) in Malaysia sustained its growth momentum, rising by 3.1 per cent in March 2026, unchanged from February 2026. The </w:t>
      </w:r>
      <w:r w:rsidR="00605271" w:rsidRPr="009E47A3">
        <w:rPr>
          <w:rFonts w:ascii="Arial" w:eastAsia="Arial" w:hAnsi="Arial" w:cs="Arial"/>
          <w:i/>
          <w:sz w:val="24"/>
          <w:szCs w:val="24"/>
          <w:lang w:val="en-MY"/>
        </w:rPr>
        <w:t>M</w:t>
      </w:r>
      <w:r w:rsidRPr="009E47A3">
        <w:rPr>
          <w:rFonts w:ascii="Arial" w:eastAsia="Arial" w:hAnsi="Arial" w:cs="Arial"/>
          <w:i/>
          <w:sz w:val="24"/>
          <w:szCs w:val="24"/>
          <w:lang w:val="en-MY"/>
        </w:rPr>
        <w:t xml:space="preserve">anufacturing sector remained the principal driver, expanding by 5.5 per cent (February 2026: 4.2%), followed by Electricity which increased by 4.9 per cent (February 2026: 4.6%). In contrast, the Mining sector continued to contract, recording a sharper decline of 6.5 per cent compared with a 2.0 per cent </w:t>
      </w:r>
      <w:r w:rsidR="00B17616" w:rsidRPr="009E47A3">
        <w:rPr>
          <w:rFonts w:ascii="Arial" w:eastAsia="Arial" w:hAnsi="Arial" w:cs="Arial"/>
          <w:i/>
          <w:sz w:val="24"/>
          <w:szCs w:val="24"/>
          <w:lang w:val="en-MY"/>
        </w:rPr>
        <w:t xml:space="preserve">decrease </w:t>
      </w:r>
      <w:r w:rsidRPr="009E47A3">
        <w:rPr>
          <w:rFonts w:ascii="Arial" w:eastAsia="Arial" w:hAnsi="Arial" w:cs="Arial"/>
          <w:i/>
          <w:sz w:val="24"/>
          <w:szCs w:val="24"/>
          <w:lang w:val="en-MY"/>
        </w:rPr>
        <w:t xml:space="preserve">in the previous month. On a month-on-month basis, the IPI rebounded strongly by 9.3 per cent, following a decline of </w:t>
      </w:r>
      <w:r w:rsidR="00A3164B">
        <w:rPr>
          <w:rFonts w:ascii="Arial" w:eastAsia="Arial" w:hAnsi="Arial" w:cs="Arial"/>
          <w:i/>
          <w:sz w:val="24"/>
          <w:szCs w:val="24"/>
          <w:lang w:val="en-MY"/>
        </w:rPr>
        <w:br/>
      </w:r>
      <w:r w:rsidRPr="009E47A3">
        <w:rPr>
          <w:rFonts w:ascii="Arial" w:eastAsia="Arial" w:hAnsi="Arial" w:cs="Arial"/>
          <w:i/>
          <w:sz w:val="24"/>
          <w:szCs w:val="24"/>
          <w:lang w:val="en-MY"/>
        </w:rPr>
        <w:t>9.2 per cent in February 2026.</w:t>
      </w:r>
      <w:r w:rsidR="00B676A7">
        <w:rPr>
          <w:rFonts w:ascii="Arial" w:eastAsia="Arial" w:hAnsi="Arial" w:cs="Arial"/>
          <w:i/>
          <w:sz w:val="24"/>
          <w:szCs w:val="24"/>
          <w:lang w:val="en-MY"/>
        </w:rPr>
        <w:t xml:space="preserve"> </w:t>
      </w:r>
      <w:r w:rsidR="00B676A7" w:rsidRPr="00B676A7">
        <w:rPr>
          <w:rFonts w:ascii="Arial" w:eastAsia="Arial" w:hAnsi="Arial" w:cs="Arial"/>
          <w:i/>
          <w:sz w:val="24"/>
          <w:szCs w:val="24"/>
          <w:lang w:val="en-MY"/>
        </w:rPr>
        <w:t>While on a quarter-on-quarter basis, IPI increased by 4.0 per cent in Q1 2026 as compared to the same period in 2025, with the Manufacturing sector indices showing an expansion of 5.7 per and Electricity sector at 5.2 per cent, while the Mining index showed a decrease of 2.9 per cent.</w:t>
      </w:r>
    </w:p>
    <w:p w14:paraId="70C29E8C" w14:textId="77777777" w:rsidR="00605271" w:rsidRPr="009E47A3" w:rsidRDefault="00605271" w:rsidP="00605271">
      <w:pPr>
        <w:spacing w:line="300" w:lineRule="auto"/>
        <w:ind w:left="240" w:right="143"/>
        <w:jc w:val="both"/>
        <w:rPr>
          <w:rFonts w:ascii="Arial" w:eastAsia="Arial" w:hAnsi="Arial" w:cs="Arial"/>
          <w:i/>
          <w:sz w:val="24"/>
          <w:szCs w:val="24"/>
          <w:lang w:val="en-MY"/>
        </w:rPr>
      </w:pPr>
    </w:p>
    <w:p w14:paraId="4A89344A" w14:textId="0C7DE102" w:rsidR="00820754" w:rsidRPr="009E47A3" w:rsidRDefault="00501892" w:rsidP="00605271">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Accordingly, t</w:t>
      </w:r>
      <w:r w:rsidR="00820754" w:rsidRPr="009E47A3">
        <w:rPr>
          <w:rFonts w:ascii="Arial" w:eastAsia="Arial" w:hAnsi="Arial" w:cs="Arial"/>
          <w:i/>
          <w:sz w:val="24"/>
          <w:szCs w:val="24"/>
          <w:lang w:val="en-MY"/>
        </w:rPr>
        <w:t xml:space="preserve">he </w:t>
      </w:r>
      <w:r w:rsidR="0082104E" w:rsidRPr="009E47A3">
        <w:rPr>
          <w:rFonts w:ascii="Arial" w:eastAsia="Arial" w:hAnsi="Arial" w:cs="Arial"/>
          <w:i/>
          <w:sz w:val="24"/>
          <w:szCs w:val="24"/>
          <w:lang w:val="en-MY"/>
        </w:rPr>
        <w:t>M</w:t>
      </w:r>
      <w:r w:rsidR="00820754" w:rsidRPr="009E47A3">
        <w:rPr>
          <w:rFonts w:ascii="Arial" w:eastAsia="Arial" w:hAnsi="Arial" w:cs="Arial"/>
          <w:i/>
          <w:sz w:val="24"/>
          <w:szCs w:val="24"/>
          <w:lang w:val="en-MY"/>
        </w:rPr>
        <w:t xml:space="preserve">anufacturing sector’s sales value expanded by 5.3 per cent, reaching RM173.1 billion in March 2026, up from 3.9 per cent in February 2026. Growth was supported by robust performance in the </w:t>
      </w:r>
      <w:r w:rsidR="0082104E" w:rsidRPr="009E47A3">
        <w:rPr>
          <w:rFonts w:ascii="Arial" w:eastAsia="Arial" w:hAnsi="Arial" w:cs="Arial"/>
          <w:i/>
          <w:sz w:val="24"/>
          <w:szCs w:val="24"/>
          <w:lang w:val="en-MY"/>
        </w:rPr>
        <w:t>E</w:t>
      </w:r>
      <w:r w:rsidR="00820754" w:rsidRPr="009E47A3">
        <w:rPr>
          <w:rFonts w:ascii="Arial" w:eastAsia="Arial" w:hAnsi="Arial" w:cs="Arial"/>
          <w:i/>
          <w:sz w:val="24"/>
          <w:szCs w:val="24"/>
          <w:lang w:val="en-MY"/>
        </w:rPr>
        <w:t xml:space="preserve">lectrical and electronics products sub-sector (+13.3%), as well as solid contributions from </w:t>
      </w:r>
      <w:r w:rsidR="0082104E" w:rsidRPr="009E47A3">
        <w:rPr>
          <w:rFonts w:ascii="Arial" w:eastAsia="Arial" w:hAnsi="Arial" w:cs="Arial"/>
          <w:i/>
          <w:sz w:val="24"/>
          <w:szCs w:val="24"/>
          <w:lang w:val="en-MY"/>
        </w:rPr>
        <w:t>F</w:t>
      </w:r>
      <w:r w:rsidR="00820754" w:rsidRPr="009E47A3">
        <w:rPr>
          <w:rFonts w:ascii="Arial" w:eastAsia="Arial" w:hAnsi="Arial" w:cs="Arial"/>
          <w:i/>
          <w:sz w:val="24"/>
          <w:szCs w:val="24"/>
          <w:lang w:val="en-MY"/>
        </w:rPr>
        <w:t>ood, beverages and tobacco sub-sector (+7.8%) and</w:t>
      </w:r>
      <w:r w:rsidR="0082104E" w:rsidRPr="009E47A3">
        <w:rPr>
          <w:rFonts w:ascii="Arial" w:eastAsia="Arial" w:hAnsi="Arial" w:cs="Arial"/>
          <w:i/>
          <w:sz w:val="24"/>
          <w:szCs w:val="24"/>
          <w:lang w:val="en-MY"/>
        </w:rPr>
        <w:t xml:space="preserve"> N</w:t>
      </w:r>
      <w:r w:rsidR="00820754" w:rsidRPr="009E47A3">
        <w:rPr>
          <w:rFonts w:ascii="Arial" w:eastAsia="Arial" w:hAnsi="Arial" w:cs="Arial"/>
          <w:i/>
          <w:sz w:val="24"/>
          <w:szCs w:val="24"/>
          <w:lang w:val="en-MY"/>
        </w:rPr>
        <w:t>on-metallic mineral products, basic metal and fabricated metal products sub-sector (</w:t>
      </w:r>
      <w:r w:rsidR="009F5F52">
        <w:rPr>
          <w:rFonts w:ascii="Arial" w:eastAsia="Arial" w:hAnsi="Arial" w:cs="Arial"/>
          <w:i/>
          <w:sz w:val="24"/>
          <w:szCs w:val="24"/>
          <w:lang w:val="en-MY"/>
        </w:rPr>
        <w:t>+</w:t>
      </w:r>
      <w:r w:rsidR="00820754" w:rsidRPr="009E47A3">
        <w:rPr>
          <w:rFonts w:ascii="Arial" w:eastAsia="Arial" w:hAnsi="Arial" w:cs="Arial"/>
          <w:i/>
          <w:sz w:val="24"/>
          <w:szCs w:val="24"/>
          <w:lang w:val="en-MY"/>
        </w:rPr>
        <w:t xml:space="preserve">3.7%). On a month-on-month basis, sales value increased by 8.7 per cent, rising from RM159.2 billion recorded in February 2026. Overall, for the first quarter of 2026, the </w:t>
      </w:r>
      <w:r w:rsidR="0082104E" w:rsidRPr="009E47A3">
        <w:rPr>
          <w:rFonts w:ascii="Arial" w:eastAsia="Arial" w:hAnsi="Arial" w:cs="Arial"/>
          <w:i/>
          <w:sz w:val="24"/>
          <w:szCs w:val="24"/>
          <w:lang w:val="en-MY"/>
        </w:rPr>
        <w:t>M</w:t>
      </w:r>
      <w:r w:rsidR="00820754" w:rsidRPr="009E47A3">
        <w:rPr>
          <w:rFonts w:ascii="Arial" w:eastAsia="Arial" w:hAnsi="Arial" w:cs="Arial"/>
          <w:i/>
          <w:sz w:val="24"/>
          <w:szCs w:val="24"/>
          <w:lang w:val="en-MY"/>
        </w:rPr>
        <w:t>anufacturing sector recorded total sales of RM501.5 billion, reflecting growth of 5.5 per cent compared with 5.8 per cent in the fourth quarter of 2025.</w:t>
      </w:r>
    </w:p>
    <w:p w14:paraId="08293656" w14:textId="77777777" w:rsidR="00820754" w:rsidRPr="009E47A3" w:rsidRDefault="00820754" w:rsidP="0074624B">
      <w:pPr>
        <w:spacing w:line="300" w:lineRule="auto"/>
        <w:ind w:left="240" w:right="143"/>
        <w:jc w:val="both"/>
        <w:rPr>
          <w:rFonts w:ascii="Arial" w:eastAsia="Arial" w:hAnsi="Arial" w:cs="Arial"/>
          <w:i/>
          <w:sz w:val="24"/>
          <w:szCs w:val="24"/>
          <w:lang w:val="en-MY"/>
        </w:rPr>
      </w:pPr>
    </w:p>
    <w:p w14:paraId="51C1AE1B" w14:textId="1A4555B9" w:rsidR="005F63DD" w:rsidRPr="009E47A3" w:rsidRDefault="00605271" w:rsidP="005F63DD">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 xml:space="preserve">Underpinned by sustained domestic economic momentum, Malaysia’s </w:t>
      </w:r>
      <w:r w:rsidR="00B17616" w:rsidRPr="009E47A3">
        <w:rPr>
          <w:rFonts w:ascii="Arial" w:eastAsia="Arial" w:hAnsi="Arial" w:cs="Arial"/>
          <w:i/>
          <w:sz w:val="24"/>
          <w:szCs w:val="24"/>
          <w:lang w:val="en-MY"/>
        </w:rPr>
        <w:t>S</w:t>
      </w:r>
      <w:r w:rsidRPr="009E47A3">
        <w:rPr>
          <w:rFonts w:ascii="Arial" w:eastAsia="Arial" w:hAnsi="Arial" w:cs="Arial"/>
          <w:i/>
          <w:sz w:val="24"/>
          <w:szCs w:val="24"/>
          <w:lang w:val="en-MY"/>
        </w:rPr>
        <w:t xml:space="preserve">ervices sector grew by 8.1 per cent year-on-year in the first quarter of 2026, with revenue reaching RM682.0 billion. </w:t>
      </w:r>
      <w:r w:rsidR="00820754" w:rsidRPr="009E47A3">
        <w:rPr>
          <w:rFonts w:ascii="Arial" w:eastAsia="Arial" w:hAnsi="Arial" w:cs="Arial"/>
          <w:i/>
          <w:sz w:val="24"/>
          <w:szCs w:val="24"/>
          <w:lang w:val="en-MY"/>
        </w:rPr>
        <w:t xml:space="preserve">Correspondingly, the </w:t>
      </w:r>
      <w:r w:rsidR="0082104E" w:rsidRPr="009E47A3">
        <w:rPr>
          <w:rFonts w:ascii="Arial" w:eastAsia="Arial" w:hAnsi="Arial" w:cs="Arial"/>
          <w:i/>
          <w:sz w:val="24"/>
          <w:szCs w:val="24"/>
          <w:lang w:val="en-MY"/>
        </w:rPr>
        <w:t xml:space="preserve">Volume Index of Services </w:t>
      </w:r>
      <w:r w:rsidR="00820754" w:rsidRPr="009E47A3">
        <w:rPr>
          <w:rFonts w:ascii="Arial" w:eastAsia="Arial" w:hAnsi="Arial" w:cs="Arial"/>
          <w:i/>
          <w:sz w:val="24"/>
          <w:szCs w:val="24"/>
          <w:lang w:val="en-MY"/>
        </w:rPr>
        <w:t xml:space="preserve">increased by 5.8 per cent to 168.0 points over the same period. On a quarter-on-quarter basis, however, both revenue and the index recorded more moderate growth of 0.6 per cent and 0.1 per cent, respectively. The </w:t>
      </w:r>
      <w:r w:rsidR="0082104E" w:rsidRPr="009E47A3">
        <w:rPr>
          <w:rFonts w:ascii="Arial" w:eastAsia="Arial" w:hAnsi="Arial" w:cs="Arial"/>
          <w:i/>
          <w:sz w:val="24"/>
          <w:szCs w:val="24"/>
          <w:lang w:val="en-MY"/>
        </w:rPr>
        <w:t>W</w:t>
      </w:r>
      <w:r w:rsidR="00820754" w:rsidRPr="009E47A3">
        <w:rPr>
          <w:rFonts w:ascii="Arial" w:eastAsia="Arial" w:hAnsi="Arial" w:cs="Arial"/>
          <w:i/>
          <w:sz w:val="24"/>
          <w:szCs w:val="24"/>
          <w:lang w:val="en-MY"/>
        </w:rPr>
        <w:t xml:space="preserve">holesale and retail trade, </w:t>
      </w:r>
      <w:r w:rsidR="0082104E" w:rsidRPr="009E47A3">
        <w:rPr>
          <w:rFonts w:ascii="Arial" w:eastAsia="Arial" w:hAnsi="Arial" w:cs="Arial"/>
          <w:i/>
          <w:sz w:val="24"/>
          <w:szCs w:val="24"/>
          <w:lang w:val="en-MY"/>
        </w:rPr>
        <w:t>F</w:t>
      </w:r>
      <w:r w:rsidR="00820754" w:rsidRPr="009E47A3">
        <w:rPr>
          <w:rFonts w:ascii="Arial" w:eastAsia="Arial" w:hAnsi="Arial" w:cs="Arial"/>
          <w:i/>
          <w:sz w:val="24"/>
          <w:szCs w:val="24"/>
          <w:lang w:val="en-MY"/>
        </w:rPr>
        <w:t xml:space="preserve">ood and beverage, and </w:t>
      </w:r>
      <w:r w:rsidR="0082104E" w:rsidRPr="009E47A3">
        <w:rPr>
          <w:rFonts w:ascii="Arial" w:eastAsia="Arial" w:hAnsi="Arial" w:cs="Arial"/>
          <w:i/>
          <w:sz w:val="24"/>
          <w:szCs w:val="24"/>
          <w:lang w:val="en-MY"/>
        </w:rPr>
        <w:t>A</w:t>
      </w:r>
      <w:r w:rsidR="00820754" w:rsidRPr="009E47A3">
        <w:rPr>
          <w:rFonts w:ascii="Arial" w:eastAsia="Arial" w:hAnsi="Arial" w:cs="Arial"/>
          <w:i/>
          <w:sz w:val="24"/>
          <w:szCs w:val="24"/>
          <w:lang w:val="en-MY"/>
        </w:rPr>
        <w:t>ccommodation segment remained the main contributor, posting</w:t>
      </w:r>
      <w:r w:rsidR="00B17616" w:rsidRPr="009E47A3">
        <w:rPr>
          <w:rFonts w:ascii="Arial" w:eastAsia="Arial" w:hAnsi="Arial" w:cs="Arial"/>
          <w:i/>
          <w:sz w:val="24"/>
          <w:szCs w:val="24"/>
          <w:lang w:val="en-MY"/>
        </w:rPr>
        <w:t xml:space="preserve"> a</w:t>
      </w:r>
      <w:r w:rsidR="00820754" w:rsidRPr="009E47A3">
        <w:rPr>
          <w:rFonts w:ascii="Arial" w:eastAsia="Arial" w:hAnsi="Arial" w:cs="Arial"/>
          <w:i/>
          <w:sz w:val="24"/>
          <w:szCs w:val="24"/>
          <w:lang w:val="en-MY"/>
        </w:rPr>
        <w:t xml:space="preserve"> year-on-year growth of 7.7 per cent, with revenue amounting </w:t>
      </w:r>
      <w:r w:rsidR="00820754" w:rsidRPr="009E47A3">
        <w:rPr>
          <w:rFonts w:ascii="Arial" w:eastAsia="Arial" w:hAnsi="Arial" w:cs="Arial"/>
          <w:i/>
          <w:sz w:val="24"/>
          <w:szCs w:val="24"/>
          <w:lang w:val="en-MY"/>
        </w:rPr>
        <w:lastRenderedPageBreak/>
        <w:t xml:space="preserve">to RM512.3 billion in the quarter. Meanwhile, the corresponding </w:t>
      </w:r>
      <w:r w:rsidR="0082104E" w:rsidRPr="009E47A3">
        <w:rPr>
          <w:rFonts w:ascii="Arial" w:eastAsia="Arial" w:hAnsi="Arial" w:cs="Arial"/>
          <w:i/>
          <w:sz w:val="24"/>
          <w:szCs w:val="24"/>
          <w:lang w:val="en-MY"/>
        </w:rPr>
        <w:t xml:space="preserve">Volume Index </w:t>
      </w:r>
      <w:r w:rsidR="00820754" w:rsidRPr="009E47A3">
        <w:rPr>
          <w:rFonts w:ascii="Arial" w:eastAsia="Arial" w:hAnsi="Arial" w:cs="Arial"/>
          <w:i/>
          <w:sz w:val="24"/>
          <w:szCs w:val="24"/>
          <w:lang w:val="en-MY"/>
        </w:rPr>
        <w:t>for this segment edged up by 5.7 per cent to 166.3 points</w:t>
      </w:r>
      <w:r w:rsidR="005F63DD" w:rsidRPr="009E47A3">
        <w:rPr>
          <w:rFonts w:ascii="Arial" w:eastAsia="Arial" w:hAnsi="Arial" w:cs="Arial"/>
          <w:i/>
          <w:sz w:val="24"/>
          <w:szCs w:val="24"/>
          <w:lang w:val="en-MY"/>
        </w:rPr>
        <w:t>.</w:t>
      </w:r>
    </w:p>
    <w:p w14:paraId="7416323B" w14:textId="77777777" w:rsidR="005F63DD" w:rsidRPr="009E47A3" w:rsidRDefault="005F63DD" w:rsidP="005F63DD">
      <w:pPr>
        <w:spacing w:line="300" w:lineRule="auto"/>
        <w:ind w:left="240" w:right="143"/>
        <w:jc w:val="both"/>
        <w:rPr>
          <w:rFonts w:ascii="Arial" w:eastAsia="Arial" w:hAnsi="Arial" w:cs="Arial"/>
          <w:i/>
          <w:sz w:val="24"/>
          <w:szCs w:val="24"/>
          <w:lang w:val="en-MY"/>
        </w:rPr>
      </w:pPr>
    </w:p>
    <w:p w14:paraId="0D943339" w14:textId="0AC27330" w:rsidR="005F63DD" w:rsidRPr="009E47A3" w:rsidRDefault="005F63DD" w:rsidP="005F63DD">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 xml:space="preserve">Turning to external developments, Malaysia’s Current Account Balance (CAB) recorded a substantial surplus of RM15.2 billion in the first quarter of 2026, supported by a strong performance in the goods account as well as by continued improvement in the services account. Foreign Direct Investment (FDI) registered a net inflow of RM22.8 billion in Q1 2026 (Q4 2025: RM26.6 billion), driven by inflows in debt instruments as well as equity and investment fund shares. These investments were primarily channelled into the </w:t>
      </w:r>
      <w:r w:rsidR="0082104E" w:rsidRPr="009E47A3">
        <w:rPr>
          <w:rFonts w:ascii="Arial" w:eastAsia="Arial" w:hAnsi="Arial" w:cs="Arial"/>
          <w:i/>
          <w:sz w:val="24"/>
          <w:szCs w:val="24"/>
          <w:lang w:val="en-MY"/>
        </w:rPr>
        <w:t>S</w:t>
      </w:r>
      <w:r w:rsidRPr="009E47A3">
        <w:rPr>
          <w:rFonts w:ascii="Arial" w:eastAsia="Arial" w:hAnsi="Arial" w:cs="Arial"/>
          <w:i/>
          <w:sz w:val="24"/>
          <w:szCs w:val="24"/>
          <w:lang w:val="en-MY"/>
        </w:rPr>
        <w:t xml:space="preserve">ervices sector, particularly the </w:t>
      </w:r>
      <w:r w:rsidR="0082104E" w:rsidRPr="009E47A3">
        <w:rPr>
          <w:rFonts w:ascii="Arial" w:eastAsia="Arial" w:hAnsi="Arial" w:cs="Arial"/>
          <w:i/>
          <w:sz w:val="24"/>
          <w:szCs w:val="24"/>
          <w:lang w:val="en-MY"/>
        </w:rPr>
        <w:t>I</w:t>
      </w:r>
      <w:r w:rsidRPr="009E47A3">
        <w:rPr>
          <w:rFonts w:ascii="Arial" w:eastAsia="Arial" w:hAnsi="Arial" w:cs="Arial"/>
          <w:i/>
          <w:sz w:val="24"/>
          <w:szCs w:val="24"/>
          <w:lang w:val="en-MY"/>
        </w:rPr>
        <w:t xml:space="preserve">nformation and communication sub-sector. Meanwhile, Direct Investment Abroad (DIA) recorded a net outflow of RM8.1 billion in Q1 2026 (Q4 2025: RM4.1 billion), reflecting increased outward investments in the </w:t>
      </w:r>
      <w:r w:rsidR="00670DFA" w:rsidRPr="009E47A3">
        <w:rPr>
          <w:rFonts w:ascii="Arial" w:eastAsia="Arial" w:hAnsi="Arial" w:cs="Arial"/>
          <w:i/>
          <w:sz w:val="24"/>
          <w:szCs w:val="24"/>
          <w:lang w:val="en-MY"/>
        </w:rPr>
        <w:t>S</w:t>
      </w:r>
      <w:r w:rsidRPr="009E47A3">
        <w:rPr>
          <w:rFonts w:ascii="Arial" w:eastAsia="Arial" w:hAnsi="Arial" w:cs="Arial"/>
          <w:i/>
          <w:sz w:val="24"/>
          <w:szCs w:val="24"/>
          <w:lang w:val="en-MY"/>
        </w:rPr>
        <w:t xml:space="preserve">ervices sector as well as in the </w:t>
      </w:r>
      <w:r w:rsidR="00670DFA" w:rsidRPr="009E47A3">
        <w:rPr>
          <w:rFonts w:ascii="Arial" w:eastAsia="Arial" w:hAnsi="Arial" w:cs="Arial"/>
          <w:i/>
          <w:sz w:val="24"/>
          <w:szCs w:val="24"/>
          <w:lang w:val="en-MY"/>
        </w:rPr>
        <w:t>M</w:t>
      </w:r>
      <w:r w:rsidRPr="009E47A3">
        <w:rPr>
          <w:rFonts w:ascii="Arial" w:eastAsia="Arial" w:hAnsi="Arial" w:cs="Arial"/>
          <w:i/>
          <w:sz w:val="24"/>
          <w:szCs w:val="24"/>
          <w:lang w:val="en-MY"/>
        </w:rPr>
        <w:t>ining and quarrying sector.</w:t>
      </w:r>
    </w:p>
    <w:p w14:paraId="097DC569" w14:textId="77777777" w:rsidR="005F63DD" w:rsidRPr="009E47A3" w:rsidRDefault="005F63DD" w:rsidP="005F63DD">
      <w:pPr>
        <w:spacing w:line="300" w:lineRule="auto"/>
        <w:ind w:left="240" w:right="143"/>
        <w:jc w:val="both"/>
        <w:rPr>
          <w:rFonts w:ascii="Arial" w:eastAsia="Arial" w:hAnsi="Arial" w:cs="Arial"/>
          <w:i/>
          <w:sz w:val="24"/>
          <w:szCs w:val="24"/>
          <w:lang w:val="en-MY"/>
        </w:rPr>
      </w:pPr>
    </w:p>
    <w:p w14:paraId="1192F2CE" w14:textId="08CA7E1D" w:rsidR="005F63DD" w:rsidRPr="009E47A3" w:rsidRDefault="005F63DD" w:rsidP="005F63DD">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Malaysia’s external trade remained robust in March 2026, with total trade increasing by 9.3 per cent (+RM23.1 billion) to RM273.0 billion year-on-year. Exports grew by 8.3 per cent (+RM11.4 billion) to RM148.8 billion, while imports rose by 10.4 per cent (+RM11.7 billion) to RM124.2 billion. The trade surplus stood at RM24.6 billion, slightly lower than in March 2025 by RM215.5 million.</w:t>
      </w:r>
      <w:r w:rsidR="00B676A7">
        <w:t xml:space="preserve"> </w:t>
      </w:r>
      <w:r w:rsidR="00B676A7" w:rsidRPr="00504BCE">
        <w:rPr>
          <w:rFonts w:ascii="Arial" w:eastAsia="Arial" w:hAnsi="Arial" w:cs="Arial"/>
          <w:i/>
          <w:sz w:val="24"/>
          <w:szCs w:val="24"/>
          <w:lang w:val="en-MY"/>
        </w:rPr>
        <w:t>Malaysia’s trade performance in Q1 2026 recorded steady growth, with total trade expanding by 10.4 per cent compared to the same period in the previous year. Exports increased by 12.7 per cent year-on-year, while imports registered a moderate growth of 7.7 per cent compared to Q1 2025. The trade balance showed a significant upward trend, rising by 54.0 per cent</w:t>
      </w:r>
      <w:r w:rsidRPr="00504BCE">
        <w:rPr>
          <w:rFonts w:ascii="Arial" w:eastAsia="Arial" w:hAnsi="Arial" w:cs="Arial"/>
          <w:i/>
          <w:sz w:val="24"/>
          <w:szCs w:val="24"/>
          <w:lang w:val="en-MY"/>
        </w:rPr>
        <w:t>. For</w:t>
      </w:r>
      <w:r w:rsidRPr="009E47A3">
        <w:rPr>
          <w:rFonts w:ascii="Arial" w:eastAsia="Arial" w:hAnsi="Arial" w:cs="Arial"/>
          <w:i/>
          <w:sz w:val="24"/>
          <w:szCs w:val="24"/>
          <w:lang w:val="en-MY"/>
        </w:rPr>
        <w:t xml:space="preserve"> April 2026, total trade surged by 28.6 per cent to RM336.7 billion from RM261.9 billion, driven by strong export performance.</w:t>
      </w:r>
    </w:p>
    <w:p w14:paraId="4A57C714" w14:textId="77777777" w:rsidR="005F63DD" w:rsidRPr="009E47A3" w:rsidRDefault="005F63DD" w:rsidP="005F63DD">
      <w:pPr>
        <w:spacing w:line="300" w:lineRule="auto"/>
        <w:ind w:left="240" w:right="143"/>
        <w:jc w:val="both"/>
        <w:rPr>
          <w:rFonts w:ascii="Arial" w:eastAsia="Arial" w:hAnsi="Arial" w:cs="Arial"/>
          <w:i/>
          <w:sz w:val="24"/>
          <w:szCs w:val="24"/>
          <w:lang w:val="en-MY"/>
        </w:rPr>
      </w:pPr>
    </w:p>
    <w:p w14:paraId="57801866" w14:textId="72F40864" w:rsidR="0082104E" w:rsidRPr="009E47A3" w:rsidRDefault="005F63DD" w:rsidP="0082104E">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 xml:space="preserve">In terms of prices, Malaysia’s inflation rose by 1.7 per cent in March 2026, with the Consumer Price Index (CPI) increasing to 136.4 from 134.1 </w:t>
      </w:r>
      <w:r w:rsidR="00B17616" w:rsidRPr="009E47A3">
        <w:rPr>
          <w:rFonts w:ascii="Arial" w:eastAsia="Arial" w:hAnsi="Arial" w:cs="Arial"/>
          <w:i/>
          <w:sz w:val="24"/>
          <w:szCs w:val="24"/>
          <w:lang w:val="en-MY"/>
        </w:rPr>
        <w:t xml:space="preserve">points </w:t>
      </w:r>
      <w:r w:rsidRPr="009E47A3">
        <w:rPr>
          <w:rFonts w:ascii="Arial" w:eastAsia="Arial" w:hAnsi="Arial" w:cs="Arial"/>
          <w:i/>
          <w:sz w:val="24"/>
          <w:szCs w:val="24"/>
          <w:lang w:val="en-MY"/>
        </w:rPr>
        <w:t xml:space="preserve">in the same month of the previous year. Inflation in March 2026 was mainly driven by </w:t>
      </w:r>
      <w:r w:rsidR="00670DFA" w:rsidRPr="009E47A3">
        <w:rPr>
          <w:rFonts w:ascii="Arial" w:eastAsia="Arial" w:hAnsi="Arial" w:cs="Arial"/>
          <w:i/>
          <w:sz w:val="24"/>
          <w:szCs w:val="24"/>
          <w:lang w:val="en-MY"/>
        </w:rPr>
        <w:t>T</w:t>
      </w:r>
      <w:r w:rsidRPr="009E47A3">
        <w:rPr>
          <w:rFonts w:ascii="Arial" w:eastAsia="Arial" w:hAnsi="Arial" w:cs="Arial"/>
          <w:i/>
          <w:sz w:val="24"/>
          <w:szCs w:val="24"/>
          <w:lang w:val="en-MY"/>
        </w:rPr>
        <w:t xml:space="preserve">ransport group, which rose to 1.6 per cent from 0.7 per cent in February 2026. In the first quarter of 2026, inflation increased by 1.6 per cent, compared with 1.3 per cent in the fourth quarter of 2025, primarily driven by higher prices in the </w:t>
      </w:r>
      <w:r w:rsidR="00670DFA" w:rsidRPr="009E47A3">
        <w:rPr>
          <w:rFonts w:ascii="Arial" w:eastAsia="Arial" w:hAnsi="Arial" w:cs="Arial"/>
          <w:i/>
          <w:sz w:val="24"/>
          <w:szCs w:val="24"/>
          <w:lang w:val="en-MY"/>
        </w:rPr>
        <w:t>P</w:t>
      </w:r>
      <w:r w:rsidRPr="009E47A3">
        <w:rPr>
          <w:rFonts w:ascii="Arial" w:eastAsia="Arial" w:hAnsi="Arial" w:cs="Arial"/>
          <w:i/>
          <w:sz w:val="24"/>
          <w:szCs w:val="24"/>
          <w:lang w:val="en-MY"/>
        </w:rPr>
        <w:t xml:space="preserve">ersonal </w:t>
      </w:r>
      <w:r w:rsidR="00670DFA" w:rsidRPr="009E47A3">
        <w:rPr>
          <w:rFonts w:ascii="Arial" w:eastAsia="Arial" w:hAnsi="Arial" w:cs="Arial"/>
          <w:i/>
          <w:sz w:val="24"/>
          <w:szCs w:val="24"/>
          <w:lang w:val="en-MY"/>
        </w:rPr>
        <w:t xml:space="preserve">Care, Social Protection and Miscellaneous Goods and Services </w:t>
      </w:r>
      <w:r w:rsidRPr="009E47A3">
        <w:rPr>
          <w:rFonts w:ascii="Arial" w:eastAsia="Arial" w:hAnsi="Arial" w:cs="Arial"/>
          <w:i/>
          <w:sz w:val="24"/>
          <w:szCs w:val="24"/>
          <w:lang w:val="en-MY"/>
        </w:rPr>
        <w:t>group (6.9</w:t>
      </w:r>
      <w:r w:rsidR="00670DFA" w:rsidRPr="009E47A3">
        <w:rPr>
          <w:rFonts w:ascii="Arial" w:eastAsia="Arial" w:hAnsi="Arial" w:cs="Arial"/>
          <w:i/>
          <w:sz w:val="24"/>
          <w:szCs w:val="24"/>
          <w:lang w:val="en-MY"/>
        </w:rPr>
        <w:t>%); Education (2.8%); and Alcoholic Beverages and Tobacco</w:t>
      </w:r>
      <w:r w:rsidRPr="009E47A3">
        <w:rPr>
          <w:rFonts w:ascii="Arial" w:eastAsia="Arial" w:hAnsi="Arial" w:cs="Arial"/>
          <w:i/>
          <w:sz w:val="24"/>
          <w:szCs w:val="24"/>
          <w:lang w:val="en-MY"/>
        </w:rPr>
        <w:t xml:space="preserve"> (2.6%). In April 2026, inflation continued its upward trend, rising further to 1.9 per cent.</w:t>
      </w:r>
    </w:p>
    <w:p w14:paraId="518A14A9" w14:textId="77777777" w:rsidR="0082104E" w:rsidRPr="009E47A3" w:rsidRDefault="0082104E" w:rsidP="0082104E">
      <w:pPr>
        <w:spacing w:line="300" w:lineRule="auto"/>
        <w:ind w:left="240" w:right="143"/>
        <w:jc w:val="both"/>
        <w:rPr>
          <w:rFonts w:ascii="Arial" w:eastAsia="Arial" w:hAnsi="Arial" w:cs="Arial"/>
          <w:i/>
          <w:sz w:val="24"/>
          <w:szCs w:val="24"/>
          <w:lang w:val="en-MY"/>
        </w:rPr>
      </w:pPr>
    </w:p>
    <w:p w14:paraId="038DE033" w14:textId="42D2D3BA" w:rsidR="004A5862" w:rsidRPr="009E47A3" w:rsidRDefault="005F63DD" w:rsidP="004A5862">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 xml:space="preserve">Malaysia’s Producer Price Index (PPI) increased by 1.1 per cent in March 2026, reversing a decline of 3.4 per cent in February and marking the first increase since March 2025. The </w:t>
      </w:r>
      <w:r w:rsidR="00670DFA" w:rsidRPr="009E47A3">
        <w:rPr>
          <w:rFonts w:ascii="Arial" w:eastAsia="Arial" w:hAnsi="Arial" w:cs="Arial"/>
          <w:i/>
          <w:sz w:val="24"/>
          <w:szCs w:val="24"/>
          <w:lang w:val="en-MY"/>
        </w:rPr>
        <w:t>M</w:t>
      </w:r>
      <w:r w:rsidRPr="009E47A3">
        <w:rPr>
          <w:rFonts w:ascii="Arial" w:eastAsia="Arial" w:hAnsi="Arial" w:cs="Arial"/>
          <w:i/>
          <w:sz w:val="24"/>
          <w:szCs w:val="24"/>
          <w:lang w:val="en-MY"/>
        </w:rPr>
        <w:t xml:space="preserve">ining sector recorded a sharp surge of 26.5 per cent, driven by higher output in </w:t>
      </w:r>
      <w:r w:rsidR="00670DFA" w:rsidRPr="009E47A3">
        <w:rPr>
          <w:rFonts w:ascii="Arial" w:eastAsia="Arial" w:hAnsi="Arial" w:cs="Arial"/>
          <w:i/>
          <w:sz w:val="24"/>
          <w:szCs w:val="24"/>
          <w:lang w:val="en-MY"/>
        </w:rPr>
        <w:t>C</w:t>
      </w:r>
      <w:r w:rsidRPr="009E47A3">
        <w:rPr>
          <w:rFonts w:ascii="Arial" w:eastAsia="Arial" w:hAnsi="Arial" w:cs="Arial"/>
          <w:i/>
          <w:sz w:val="24"/>
          <w:szCs w:val="24"/>
          <w:lang w:val="en-MY"/>
        </w:rPr>
        <w:t xml:space="preserve">rude petroleum extraction (38.5%). In the </w:t>
      </w:r>
      <w:r w:rsidR="00670DFA" w:rsidRPr="009E47A3">
        <w:rPr>
          <w:rFonts w:ascii="Arial" w:eastAsia="Arial" w:hAnsi="Arial" w:cs="Arial"/>
          <w:i/>
          <w:sz w:val="24"/>
          <w:szCs w:val="24"/>
          <w:lang w:val="en-MY"/>
        </w:rPr>
        <w:t>U</w:t>
      </w:r>
      <w:r w:rsidRPr="009E47A3">
        <w:rPr>
          <w:rFonts w:ascii="Arial" w:eastAsia="Arial" w:hAnsi="Arial" w:cs="Arial"/>
          <w:i/>
          <w:sz w:val="24"/>
          <w:szCs w:val="24"/>
          <w:lang w:val="en-MY"/>
        </w:rPr>
        <w:t xml:space="preserve">tilities sector, </w:t>
      </w:r>
      <w:r w:rsidR="00670DFA" w:rsidRPr="009E47A3">
        <w:rPr>
          <w:rFonts w:ascii="Arial" w:eastAsia="Arial" w:hAnsi="Arial" w:cs="Arial"/>
          <w:i/>
          <w:sz w:val="24"/>
          <w:szCs w:val="24"/>
          <w:lang w:val="en-MY"/>
        </w:rPr>
        <w:t>W</w:t>
      </w:r>
      <w:r w:rsidRPr="009E47A3">
        <w:rPr>
          <w:rFonts w:ascii="Arial" w:eastAsia="Arial" w:hAnsi="Arial" w:cs="Arial"/>
          <w:i/>
          <w:sz w:val="24"/>
          <w:szCs w:val="24"/>
          <w:lang w:val="en-MY"/>
        </w:rPr>
        <w:t xml:space="preserve">ater supply rose by 11.3 per cent, while </w:t>
      </w:r>
      <w:r w:rsidR="00670DFA" w:rsidRPr="009E47A3">
        <w:rPr>
          <w:rFonts w:ascii="Arial" w:eastAsia="Arial" w:hAnsi="Arial" w:cs="Arial"/>
          <w:i/>
          <w:sz w:val="24"/>
          <w:szCs w:val="24"/>
          <w:lang w:val="en-MY"/>
        </w:rPr>
        <w:t>E</w:t>
      </w:r>
      <w:r w:rsidRPr="009E47A3">
        <w:rPr>
          <w:rFonts w:ascii="Arial" w:eastAsia="Arial" w:hAnsi="Arial" w:cs="Arial"/>
          <w:i/>
          <w:sz w:val="24"/>
          <w:szCs w:val="24"/>
          <w:lang w:val="en-MY"/>
        </w:rPr>
        <w:t xml:space="preserve">lectricity and gas increased by 9.6 per cent. On a month-on-month basis, the PPI for local production increased by 4.1 per cent </w:t>
      </w:r>
      <w:r w:rsidRPr="009E47A3">
        <w:rPr>
          <w:rFonts w:ascii="Arial" w:eastAsia="Arial" w:hAnsi="Arial" w:cs="Arial"/>
          <w:i/>
          <w:sz w:val="24"/>
          <w:szCs w:val="24"/>
          <w:lang w:val="en-MY"/>
        </w:rPr>
        <w:lastRenderedPageBreak/>
        <w:t xml:space="preserve">(February: -0.5%). However, on a quarterly basis, it still contracted by 1.7 per cent in the first quarter of 2026, weighed down by declines in the </w:t>
      </w:r>
      <w:r w:rsidR="00670DFA" w:rsidRPr="009E47A3">
        <w:rPr>
          <w:rFonts w:ascii="Arial" w:eastAsia="Arial" w:hAnsi="Arial" w:cs="Arial"/>
          <w:i/>
          <w:sz w:val="24"/>
          <w:szCs w:val="24"/>
          <w:lang w:val="en-MY"/>
        </w:rPr>
        <w:t>A</w:t>
      </w:r>
      <w:r w:rsidRPr="009E47A3">
        <w:rPr>
          <w:rFonts w:ascii="Arial" w:eastAsia="Arial" w:hAnsi="Arial" w:cs="Arial"/>
          <w:i/>
          <w:sz w:val="24"/>
          <w:szCs w:val="24"/>
          <w:lang w:val="en-MY"/>
        </w:rPr>
        <w:t xml:space="preserve">griculture, forestry and fishing sector (-7.5%) and the </w:t>
      </w:r>
      <w:r w:rsidR="00670DFA" w:rsidRPr="009E47A3">
        <w:rPr>
          <w:rFonts w:ascii="Arial" w:eastAsia="Arial" w:hAnsi="Arial" w:cs="Arial"/>
          <w:i/>
          <w:sz w:val="24"/>
          <w:szCs w:val="24"/>
          <w:lang w:val="en-MY"/>
        </w:rPr>
        <w:t>M</w:t>
      </w:r>
      <w:r w:rsidRPr="009E47A3">
        <w:rPr>
          <w:rFonts w:ascii="Arial" w:eastAsia="Arial" w:hAnsi="Arial" w:cs="Arial"/>
          <w:i/>
          <w:sz w:val="24"/>
          <w:szCs w:val="24"/>
          <w:lang w:val="en-MY"/>
        </w:rPr>
        <w:t>anufacturing sector (-1.7%).</w:t>
      </w:r>
      <w:r w:rsidR="0082104E" w:rsidRPr="009E47A3">
        <w:rPr>
          <w:rFonts w:ascii="Arial" w:hAnsi="Arial" w:cs="Arial"/>
          <w:i/>
        </w:rPr>
        <w:t xml:space="preserve"> </w:t>
      </w:r>
      <w:r w:rsidR="0082104E" w:rsidRPr="009E47A3">
        <w:rPr>
          <w:rFonts w:ascii="Arial" w:eastAsia="Arial" w:hAnsi="Arial" w:cs="Arial"/>
          <w:i/>
          <w:sz w:val="24"/>
          <w:szCs w:val="24"/>
          <w:lang w:val="en-MY"/>
        </w:rPr>
        <w:t>In addition, the Malaysia’s PPI</w:t>
      </w:r>
      <w:r w:rsidR="00501892" w:rsidRPr="009E47A3">
        <w:rPr>
          <w:rFonts w:ascii="Arial" w:eastAsia="Arial" w:hAnsi="Arial" w:cs="Arial"/>
          <w:i/>
          <w:sz w:val="24"/>
          <w:szCs w:val="24"/>
          <w:lang w:val="en-MY"/>
        </w:rPr>
        <w:t xml:space="preserve"> in April 2026 recorded</w:t>
      </w:r>
      <w:r w:rsidR="00E757F7" w:rsidRPr="009E47A3">
        <w:rPr>
          <w:rFonts w:ascii="Arial" w:eastAsia="Arial" w:hAnsi="Arial" w:cs="Arial"/>
          <w:i/>
          <w:sz w:val="24"/>
          <w:szCs w:val="24"/>
          <w:lang w:val="en-MY"/>
        </w:rPr>
        <w:t xml:space="preserve"> its highest increase since August 2022, rising 5.4 per cent.</w:t>
      </w:r>
    </w:p>
    <w:p w14:paraId="210EDB79" w14:textId="77777777" w:rsidR="004A5862" w:rsidRPr="009E47A3" w:rsidRDefault="004A5862" w:rsidP="004A5862">
      <w:pPr>
        <w:spacing w:line="300" w:lineRule="auto"/>
        <w:ind w:left="240" w:right="143"/>
        <w:jc w:val="both"/>
        <w:rPr>
          <w:rFonts w:ascii="Arial" w:eastAsia="Arial" w:hAnsi="Arial" w:cs="Arial"/>
          <w:i/>
          <w:sz w:val="24"/>
          <w:szCs w:val="24"/>
          <w:lang w:val="en-MY"/>
        </w:rPr>
      </w:pPr>
    </w:p>
    <w:p w14:paraId="0211DB47" w14:textId="43B2B23A" w:rsidR="00E00EFF" w:rsidRPr="009E47A3" w:rsidRDefault="00670DFA" w:rsidP="00584255">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 xml:space="preserve">Malaysia’s labour market remained broadly stable in March 2026, as highlighted by Dato’ Sri </w:t>
      </w:r>
      <w:proofErr w:type="spellStart"/>
      <w:proofErr w:type="gramStart"/>
      <w:r w:rsidRPr="009E47A3">
        <w:rPr>
          <w:rFonts w:ascii="Arial" w:eastAsia="Arial" w:hAnsi="Arial" w:cs="Arial"/>
          <w:i/>
          <w:sz w:val="24"/>
          <w:szCs w:val="24"/>
          <w:lang w:val="en-MY"/>
        </w:rPr>
        <w:t>Dr.Mohd</w:t>
      </w:r>
      <w:proofErr w:type="spellEnd"/>
      <w:proofErr w:type="gramEnd"/>
      <w:r w:rsidRPr="009E47A3">
        <w:rPr>
          <w:rFonts w:ascii="Arial" w:eastAsia="Arial" w:hAnsi="Arial" w:cs="Arial"/>
          <w:i/>
          <w:sz w:val="24"/>
          <w:szCs w:val="24"/>
          <w:lang w:val="en-MY"/>
        </w:rPr>
        <w:t xml:space="preserve"> Uzir Mahidin, with the labour force grew by 0.3 per cent to 17.23 million persons in the first quarter of 2026 (Q4 2025: 17.19 million persons). The Labour Force Participation Rate (LFPR) stood at 70.9 per cent, reflecting a total of 16.73 million employed persons, rose by 0.3 per cent</w:t>
      </w:r>
      <w:r w:rsidR="009F5F52">
        <w:rPr>
          <w:rFonts w:ascii="Arial" w:eastAsia="Arial" w:hAnsi="Arial" w:cs="Arial"/>
          <w:i/>
          <w:sz w:val="24"/>
          <w:szCs w:val="24"/>
          <w:lang w:val="en-MY"/>
        </w:rPr>
        <w:t xml:space="preserve"> (+</w:t>
      </w:r>
      <w:r w:rsidR="009F5F52" w:rsidRPr="009E47A3">
        <w:rPr>
          <w:rFonts w:ascii="Arial" w:eastAsia="Arial" w:hAnsi="Arial" w:cs="Arial"/>
          <w:i/>
          <w:sz w:val="24"/>
          <w:szCs w:val="24"/>
          <w:lang w:val="en-MY"/>
        </w:rPr>
        <w:t>48.5 thousand</w:t>
      </w:r>
      <w:r w:rsidR="009F5F52">
        <w:rPr>
          <w:rFonts w:ascii="Arial" w:eastAsia="Arial" w:hAnsi="Arial" w:cs="Arial"/>
          <w:i/>
          <w:sz w:val="24"/>
          <w:szCs w:val="24"/>
          <w:lang w:val="en-MY"/>
        </w:rPr>
        <w:t>)</w:t>
      </w:r>
      <w:r w:rsidR="009F5F52" w:rsidRPr="009E47A3">
        <w:rPr>
          <w:rFonts w:ascii="Arial" w:eastAsia="Arial" w:hAnsi="Arial" w:cs="Arial"/>
          <w:i/>
          <w:sz w:val="24"/>
          <w:szCs w:val="24"/>
          <w:lang w:val="en-MY"/>
        </w:rPr>
        <w:t xml:space="preserve"> </w:t>
      </w:r>
      <w:r w:rsidR="009F5F52">
        <w:rPr>
          <w:rFonts w:ascii="Arial" w:eastAsia="Arial" w:hAnsi="Arial" w:cs="Arial"/>
          <w:i/>
          <w:sz w:val="24"/>
          <w:szCs w:val="24"/>
          <w:lang w:val="en-MY"/>
        </w:rPr>
        <w:br/>
      </w:r>
      <w:r w:rsidRPr="009E47A3">
        <w:rPr>
          <w:rFonts w:ascii="Arial" w:eastAsia="Arial" w:hAnsi="Arial" w:cs="Arial"/>
          <w:i/>
          <w:sz w:val="24"/>
          <w:szCs w:val="24"/>
          <w:lang w:val="en-MY"/>
        </w:rPr>
        <w:t xml:space="preserve">(Q4 2025: 16.68 million persons). Meanwhile, the unemployment rate decreased by 0.1 percentage point to 2.9 per cent. On the demand side, the total number of jobs registered a year-on-year increase of 1.8 per cent, reaching 9.23 million jobs in </w:t>
      </w:r>
      <w:r w:rsidR="004A5862" w:rsidRPr="009E47A3">
        <w:rPr>
          <w:rFonts w:ascii="Arial" w:eastAsia="Arial" w:hAnsi="Arial" w:cs="Arial"/>
          <w:i/>
          <w:sz w:val="24"/>
          <w:szCs w:val="24"/>
          <w:lang w:val="en-MY"/>
        </w:rPr>
        <w:t>first quarter of 2026</w:t>
      </w:r>
      <w:r w:rsidRPr="009E47A3">
        <w:rPr>
          <w:rFonts w:ascii="Arial" w:eastAsia="Arial" w:hAnsi="Arial" w:cs="Arial"/>
          <w:i/>
          <w:sz w:val="24"/>
          <w:szCs w:val="24"/>
          <w:lang w:val="en-MY"/>
        </w:rPr>
        <w:t>.</w:t>
      </w:r>
    </w:p>
    <w:p w14:paraId="4C473C38" w14:textId="77777777" w:rsidR="00584255" w:rsidRPr="009E47A3" w:rsidRDefault="00584255" w:rsidP="00584255">
      <w:pPr>
        <w:spacing w:line="300" w:lineRule="auto"/>
        <w:ind w:left="240" w:right="143"/>
        <w:jc w:val="both"/>
        <w:rPr>
          <w:rFonts w:ascii="Arial" w:eastAsia="Arial" w:hAnsi="Arial" w:cs="Arial"/>
          <w:i/>
          <w:sz w:val="24"/>
          <w:szCs w:val="24"/>
          <w:lang w:val="en-MY"/>
        </w:rPr>
      </w:pPr>
    </w:p>
    <w:p w14:paraId="3614149B" w14:textId="1D7EF5BF" w:rsidR="00ED5EDE" w:rsidRPr="009E47A3" w:rsidRDefault="00584255" w:rsidP="0074624B">
      <w:pPr>
        <w:spacing w:line="300" w:lineRule="auto"/>
        <w:ind w:left="240" w:right="143"/>
        <w:jc w:val="both"/>
        <w:rPr>
          <w:rFonts w:ascii="Arial" w:eastAsia="Arial" w:hAnsi="Arial" w:cs="Arial"/>
          <w:i/>
          <w:sz w:val="24"/>
          <w:szCs w:val="24"/>
          <w:lang w:val="en-MY"/>
        </w:rPr>
      </w:pPr>
      <w:r w:rsidRPr="009E47A3">
        <w:rPr>
          <w:rFonts w:ascii="Arial" w:eastAsia="Arial" w:hAnsi="Arial" w:cs="Arial"/>
          <w:i/>
          <w:sz w:val="24"/>
          <w:szCs w:val="24"/>
          <w:lang w:val="en-MY"/>
        </w:rPr>
        <w:t>Looking ahead</w:t>
      </w:r>
      <w:r w:rsidR="004A5862" w:rsidRPr="009E47A3">
        <w:rPr>
          <w:rFonts w:ascii="Arial" w:eastAsia="Arial" w:hAnsi="Arial" w:cs="Arial"/>
          <w:i/>
          <w:sz w:val="24"/>
          <w:szCs w:val="24"/>
          <w:lang w:val="en-MY"/>
        </w:rPr>
        <w:t xml:space="preserve">, Malaysia’s economic outlook is projected to remain </w:t>
      </w:r>
      <w:r w:rsidR="00A3164B">
        <w:rPr>
          <w:rFonts w:ascii="Arial" w:eastAsia="Arial" w:hAnsi="Arial" w:cs="Arial"/>
          <w:i/>
          <w:sz w:val="24"/>
          <w:szCs w:val="24"/>
          <w:lang w:val="en-MY"/>
        </w:rPr>
        <w:br/>
      </w:r>
      <w:r w:rsidR="004A5862" w:rsidRPr="009E47A3">
        <w:rPr>
          <w:rFonts w:ascii="Arial" w:eastAsia="Arial" w:hAnsi="Arial" w:cs="Arial"/>
          <w:i/>
          <w:sz w:val="24"/>
          <w:szCs w:val="24"/>
          <w:lang w:val="en-MY"/>
        </w:rPr>
        <w:t>stable</w:t>
      </w:r>
      <w:r w:rsidR="00ED5EDE" w:rsidRPr="009E47A3">
        <w:rPr>
          <w:rFonts w:ascii="Arial" w:eastAsia="Arial" w:hAnsi="Arial" w:cs="Arial"/>
          <w:i/>
          <w:sz w:val="24"/>
          <w:szCs w:val="24"/>
          <w:lang w:val="en-MY"/>
        </w:rPr>
        <w:t>. Underpinned by ongoing improvements in t</w:t>
      </w:r>
      <w:r w:rsidR="004A5862" w:rsidRPr="009E47A3">
        <w:rPr>
          <w:rFonts w:ascii="Arial" w:eastAsia="Arial" w:hAnsi="Arial" w:cs="Arial"/>
          <w:i/>
          <w:sz w:val="24"/>
          <w:szCs w:val="24"/>
          <w:lang w:val="en-MY"/>
        </w:rPr>
        <w:t xml:space="preserve">he </w:t>
      </w:r>
      <w:r w:rsidR="00ED5EDE" w:rsidRPr="009E47A3">
        <w:rPr>
          <w:rFonts w:ascii="Arial" w:eastAsia="Arial" w:hAnsi="Arial" w:cs="Arial"/>
          <w:i/>
          <w:sz w:val="24"/>
          <w:szCs w:val="24"/>
          <w:lang w:val="en-MY"/>
        </w:rPr>
        <w:t xml:space="preserve">Malaysia’s </w:t>
      </w:r>
      <w:r w:rsidRPr="009E47A3">
        <w:rPr>
          <w:rFonts w:ascii="Arial" w:eastAsia="Arial" w:hAnsi="Arial" w:cs="Arial"/>
          <w:i/>
          <w:sz w:val="24"/>
          <w:szCs w:val="24"/>
          <w:lang w:val="en-MY"/>
        </w:rPr>
        <w:t>Leading Index (LI)</w:t>
      </w:r>
      <w:r w:rsidR="00501892" w:rsidRPr="009E47A3">
        <w:rPr>
          <w:rFonts w:ascii="Arial" w:eastAsia="Arial" w:hAnsi="Arial" w:cs="Arial"/>
          <w:i/>
          <w:sz w:val="24"/>
          <w:szCs w:val="24"/>
          <w:lang w:val="en-MY"/>
        </w:rPr>
        <w:t xml:space="preserve"> which</w:t>
      </w:r>
      <w:r w:rsidRPr="009E47A3">
        <w:rPr>
          <w:rFonts w:ascii="Arial" w:eastAsia="Arial" w:hAnsi="Arial" w:cs="Arial"/>
          <w:i/>
          <w:sz w:val="24"/>
          <w:szCs w:val="24"/>
          <w:lang w:val="en-MY"/>
        </w:rPr>
        <w:t xml:space="preserve"> rose 0.5 per cent year-on-year in March 2026 to 113.3 points </w:t>
      </w:r>
      <w:r w:rsidR="00A3164B">
        <w:rPr>
          <w:rFonts w:ascii="Arial" w:eastAsia="Arial" w:hAnsi="Arial" w:cs="Arial"/>
          <w:i/>
          <w:sz w:val="24"/>
          <w:szCs w:val="24"/>
          <w:lang w:val="en-MY"/>
        </w:rPr>
        <w:br/>
      </w:r>
      <w:r w:rsidRPr="009E47A3">
        <w:rPr>
          <w:rFonts w:ascii="Arial" w:eastAsia="Arial" w:hAnsi="Arial" w:cs="Arial"/>
          <w:i/>
          <w:sz w:val="24"/>
          <w:szCs w:val="24"/>
          <w:lang w:val="en-MY"/>
        </w:rPr>
        <w:t xml:space="preserve">(March 2025: 112.7 points). Growth was driven by three of seven components, led by a 32.3 per cent surge in Housing Units Approved. However, a drop in Semiconductor Imports limited overall gains. On a monthly basis, LI slipped </w:t>
      </w:r>
      <w:r w:rsidR="00A3164B">
        <w:rPr>
          <w:rFonts w:ascii="Arial" w:eastAsia="Arial" w:hAnsi="Arial" w:cs="Arial"/>
          <w:i/>
          <w:sz w:val="24"/>
          <w:szCs w:val="24"/>
          <w:lang w:val="en-MY"/>
        </w:rPr>
        <w:br/>
      </w:r>
      <w:r w:rsidRPr="009E47A3">
        <w:rPr>
          <w:rFonts w:ascii="Arial" w:eastAsia="Arial" w:hAnsi="Arial" w:cs="Arial"/>
          <w:i/>
          <w:sz w:val="24"/>
          <w:szCs w:val="24"/>
          <w:lang w:val="en-MY"/>
        </w:rPr>
        <w:t>0.1 per cent, mainly due to lower imports of Other Basic Precious and Other Non-ferrous Metals (-0.9%). The long-term trend stayed below 100.0 points, signalling moderate momentum amid global uncertainties and inflationary pressures. Nevertheless, strong domestic activity and sustained investment supported resilience against external shocks.</w:t>
      </w:r>
    </w:p>
    <w:p w14:paraId="47EA4ADA" w14:textId="77777777" w:rsidR="002C3303" w:rsidRPr="00B77A46" w:rsidRDefault="002C3303" w:rsidP="00D74B2A">
      <w:pPr>
        <w:spacing w:line="300" w:lineRule="auto"/>
        <w:ind w:right="143"/>
        <w:jc w:val="both"/>
        <w:rPr>
          <w:rFonts w:ascii="Arial" w:eastAsia="Arial" w:hAnsi="Arial" w:cs="Arial"/>
          <w:i/>
          <w:sz w:val="24"/>
          <w:szCs w:val="24"/>
          <w:lang w:val="en-MY"/>
        </w:rPr>
      </w:pPr>
    </w:p>
    <w:p w14:paraId="5FADD349" w14:textId="6BE8BFD9" w:rsidR="00907A48" w:rsidRPr="00B77A46" w:rsidRDefault="00907A48" w:rsidP="0074624B">
      <w:pPr>
        <w:spacing w:line="300" w:lineRule="auto"/>
        <w:ind w:left="240"/>
        <w:jc w:val="both"/>
        <w:rPr>
          <w:rFonts w:ascii="Arial" w:eastAsia="Arial" w:hAnsi="Arial" w:cs="Arial"/>
          <w:i/>
          <w:spacing w:val="1"/>
          <w:sz w:val="24"/>
          <w:szCs w:val="24"/>
          <w:lang w:val="en-MY"/>
        </w:rPr>
      </w:pPr>
      <w:r w:rsidRPr="00B77A46">
        <w:rPr>
          <w:rFonts w:ascii="Arial" w:eastAsia="Arial" w:hAnsi="Arial" w:cs="Arial"/>
          <w:i/>
          <w:spacing w:val="1"/>
          <w:sz w:val="24"/>
          <w:szCs w:val="24"/>
          <w:lang w:val="en-MY"/>
        </w:rPr>
        <w:t>The Department of Statistics Malaysia (DOSM) is conducting the Economic Census 2026 (BE2026), themed “Data Nadi Ekonomi Rakyat”. The sixth Economic Census, running from 5th January to 31st October 2026. BE2026 aims to collect comprehensive</w:t>
      </w:r>
      <w:r w:rsidR="00CB2552" w:rsidRPr="00B77A46">
        <w:rPr>
          <w:rFonts w:ascii="Arial" w:eastAsia="Arial" w:hAnsi="Arial" w:cs="Arial"/>
          <w:i/>
          <w:spacing w:val="1"/>
          <w:sz w:val="24"/>
          <w:szCs w:val="24"/>
          <w:lang w:val="en-MY"/>
        </w:rPr>
        <w:t xml:space="preserve"> and </w:t>
      </w:r>
      <w:r w:rsidRPr="00B77A46">
        <w:rPr>
          <w:rFonts w:ascii="Arial" w:eastAsia="Arial" w:hAnsi="Arial" w:cs="Arial"/>
          <w:i/>
          <w:spacing w:val="1"/>
          <w:sz w:val="24"/>
          <w:szCs w:val="24"/>
          <w:lang w:val="en-MY"/>
        </w:rPr>
        <w:t>structured data from all registered and unregistered business establishments in Malaysia to assess the nation’s economic performance, structure and characteristics in an evidence-based manner.</w:t>
      </w:r>
    </w:p>
    <w:p w14:paraId="2A8F7C26" w14:textId="77777777" w:rsidR="00907A48" w:rsidRPr="00B77A46" w:rsidRDefault="00907A48" w:rsidP="0074624B">
      <w:pPr>
        <w:spacing w:line="300" w:lineRule="auto"/>
        <w:ind w:left="240"/>
        <w:jc w:val="both"/>
        <w:rPr>
          <w:rFonts w:ascii="Arial" w:eastAsia="Arial" w:hAnsi="Arial" w:cs="Arial"/>
          <w:i/>
          <w:spacing w:val="1"/>
          <w:sz w:val="24"/>
          <w:szCs w:val="24"/>
          <w:lang w:val="en-MY"/>
        </w:rPr>
      </w:pPr>
    </w:p>
    <w:p w14:paraId="5D9A9578" w14:textId="77777777" w:rsidR="00907A48" w:rsidRPr="00B77A46" w:rsidRDefault="00907A48" w:rsidP="0074624B">
      <w:pPr>
        <w:spacing w:line="300" w:lineRule="auto"/>
        <w:ind w:left="240"/>
        <w:jc w:val="both"/>
        <w:rPr>
          <w:rFonts w:ascii="Arial" w:eastAsia="Arial" w:hAnsi="Arial" w:cs="Arial"/>
          <w:i/>
          <w:spacing w:val="1"/>
          <w:sz w:val="24"/>
          <w:szCs w:val="24"/>
          <w:lang w:val="en-MY"/>
        </w:rPr>
      </w:pPr>
      <w:r w:rsidRPr="00B77A46">
        <w:rPr>
          <w:rFonts w:ascii="Arial" w:eastAsia="Arial" w:hAnsi="Arial" w:cs="Arial"/>
          <w:i/>
          <w:spacing w:val="1"/>
          <w:sz w:val="24"/>
          <w:szCs w:val="24"/>
          <w:lang w:val="en-MY"/>
        </w:rPr>
        <w:t>Malaysia has, for the first time, successfully secured the top position globally in the biennial Open Data Inventory (ODIN) 2024/25 report released by Open Data Watch (ODW), surpassing 197 other countries. This achievement marks a significant leap from its 67th position in the ODIN 2022/23 assessment.</w:t>
      </w:r>
    </w:p>
    <w:p w14:paraId="0E650A5E" w14:textId="77777777" w:rsidR="00907A48" w:rsidRPr="00B77A46" w:rsidRDefault="00907A48" w:rsidP="0074624B">
      <w:pPr>
        <w:spacing w:line="300" w:lineRule="auto"/>
        <w:ind w:left="240"/>
        <w:jc w:val="both"/>
        <w:rPr>
          <w:rFonts w:ascii="Arial" w:eastAsia="Arial" w:hAnsi="Arial" w:cs="Arial"/>
          <w:i/>
          <w:spacing w:val="1"/>
          <w:sz w:val="24"/>
          <w:szCs w:val="24"/>
          <w:lang w:val="en-MY"/>
        </w:rPr>
      </w:pPr>
    </w:p>
    <w:p w14:paraId="554B6F98" w14:textId="06D0843F" w:rsidR="00907A48" w:rsidRPr="00B77A46" w:rsidRDefault="00907A48" w:rsidP="0074624B">
      <w:pPr>
        <w:spacing w:line="300" w:lineRule="auto"/>
        <w:ind w:left="240"/>
        <w:jc w:val="both"/>
        <w:rPr>
          <w:rFonts w:ascii="Arial" w:eastAsia="Arial" w:hAnsi="Arial" w:cs="Arial"/>
          <w:i/>
          <w:spacing w:val="1"/>
          <w:sz w:val="24"/>
          <w:szCs w:val="24"/>
          <w:lang w:val="en-MY"/>
        </w:rPr>
      </w:pPr>
      <w:proofErr w:type="spellStart"/>
      <w:r w:rsidRPr="00B77A46">
        <w:rPr>
          <w:rFonts w:ascii="Arial" w:eastAsia="Arial" w:hAnsi="Arial" w:cs="Arial"/>
          <w:i/>
          <w:spacing w:val="1"/>
          <w:sz w:val="24"/>
          <w:szCs w:val="24"/>
          <w:lang w:val="en-MY"/>
        </w:rPr>
        <w:t>OpenDOSM</w:t>
      </w:r>
      <w:proofErr w:type="spellEnd"/>
      <w:r w:rsidRPr="00B77A46">
        <w:rPr>
          <w:rFonts w:ascii="Arial" w:eastAsia="Arial" w:hAnsi="Arial" w:cs="Arial"/>
          <w:i/>
          <w:spacing w:val="1"/>
          <w:sz w:val="24"/>
          <w:szCs w:val="24"/>
          <w:lang w:val="en-MY"/>
        </w:rPr>
        <w:t xml:space="preserve"> NextGen is a medium that provides data catalogue and visualisations to facilitate users' analysis and can be accessed through</w:t>
      </w:r>
      <w:hyperlink r:id="rId9" w:history="1">
        <w:r w:rsidR="008750EF" w:rsidRPr="00B77A46">
          <w:rPr>
            <w:rStyle w:val="Hyperlink"/>
            <w:rFonts w:ascii="Arial" w:eastAsia="Arial" w:hAnsi="Arial" w:cs="Arial"/>
            <w:i/>
            <w:color w:val="auto"/>
            <w:spacing w:val="1"/>
            <w:sz w:val="24"/>
            <w:szCs w:val="24"/>
            <w:lang w:val="en-MY"/>
          </w:rPr>
          <w:t>https://open.dosm.gov.my</w:t>
        </w:r>
      </w:hyperlink>
      <w:r w:rsidRPr="00B77A46">
        <w:rPr>
          <w:rFonts w:ascii="Arial" w:eastAsia="Arial" w:hAnsi="Arial" w:cs="Arial"/>
          <w:i/>
          <w:spacing w:val="1"/>
          <w:sz w:val="24"/>
          <w:szCs w:val="24"/>
          <w:lang w:val="en-MY"/>
        </w:rPr>
        <w:t>.</w:t>
      </w:r>
    </w:p>
    <w:p w14:paraId="4FB14C1E" w14:textId="14CE0B80" w:rsidR="00D03497" w:rsidRDefault="00D03497" w:rsidP="0074624B">
      <w:pPr>
        <w:pStyle w:val="NormalWeb"/>
        <w:spacing w:before="0" w:beforeAutospacing="0" w:after="0" w:afterAutospacing="0" w:line="300" w:lineRule="auto"/>
        <w:rPr>
          <w:rFonts w:ascii="Arial" w:hAnsi="Arial" w:cs="Arial"/>
        </w:rPr>
      </w:pPr>
    </w:p>
    <w:p w14:paraId="3F9BEE2A" w14:textId="5C0C91BB" w:rsidR="009E47A3" w:rsidRDefault="009E47A3" w:rsidP="0074624B">
      <w:pPr>
        <w:pStyle w:val="NormalWeb"/>
        <w:spacing w:before="0" w:beforeAutospacing="0" w:after="0" w:afterAutospacing="0" w:line="300" w:lineRule="auto"/>
        <w:rPr>
          <w:rFonts w:ascii="Arial" w:hAnsi="Arial" w:cs="Arial"/>
        </w:rPr>
      </w:pPr>
    </w:p>
    <w:p w14:paraId="693D8547" w14:textId="0DE85F8A" w:rsidR="005D1BFE" w:rsidRPr="00B77A46" w:rsidRDefault="005D1BFE" w:rsidP="0074624B">
      <w:pPr>
        <w:widowControl w:val="0"/>
        <w:tabs>
          <w:tab w:val="left" w:pos="1920"/>
        </w:tabs>
        <w:spacing w:line="300" w:lineRule="auto"/>
        <w:jc w:val="both"/>
        <w:rPr>
          <w:rFonts w:ascii="Arial" w:hAnsi="Arial" w:cs="Arial"/>
          <w:sz w:val="24"/>
          <w:szCs w:val="24"/>
          <w:lang w:val="en-MY"/>
        </w:rPr>
      </w:pPr>
      <w:r w:rsidRPr="00B77A46">
        <w:rPr>
          <w:rFonts w:ascii="Arial" w:hAnsi="Arial" w:cs="Arial"/>
          <w:sz w:val="24"/>
          <w:szCs w:val="24"/>
          <w:lang w:val="en-MY"/>
        </w:rPr>
        <w:lastRenderedPageBreak/>
        <w:t>Released by:</w:t>
      </w:r>
    </w:p>
    <w:p w14:paraId="26A5EC07" w14:textId="77777777" w:rsidR="005D1BFE" w:rsidRPr="00B77A46" w:rsidRDefault="005D1BFE" w:rsidP="0074624B">
      <w:pPr>
        <w:widowControl w:val="0"/>
        <w:tabs>
          <w:tab w:val="left" w:pos="1920"/>
        </w:tabs>
        <w:spacing w:line="300" w:lineRule="auto"/>
        <w:jc w:val="both"/>
        <w:rPr>
          <w:rFonts w:ascii="Arial" w:hAnsi="Arial" w:cs="Arial"/>
          <w:iCs/>
          <w:sz w:val="24"/>
          <w:szCs w:val="24"/>
          <w:lang w:val="en-MY"/>
        </w:rPr>
      </w:pPr>
    </w:p>
    <w:p w14:paraId="782ED752" w14:textId="77777777" w:rsidR="005D1BFE" w:rsidRPr="00B77A46" w:rsidRDefault="005D1BFE" w:rsidP="0074624B">
      <w:pPr>
        <w:pStyle w:val="NoSpacing"/>
        <w:spacing w:line="300" w:lineRule="auto"/>
        <w:rPr>
          <w:rFonts w:ascii="Arial" w:hAnsi="Arial" w:cs="Arial"/>
          <w:b/>
          <w:sz w:val="24"/>
          <w:szCs w:val="24"/>
          <w:lang w:val="en-MY"/>
        </w:rPr>
      </w:pPr>
      <w:r w:rsidRPr="00B77A46">
        <w:rPr>
          <w:rFonts w:ascii="Arial" w:hAnsi="Arial" w:cs="Arial"/>
          <w:b/>
          <w:sz w:val="24"/>
          <w:szCs w:val="24"/>
          <w:lang w:val="en-MY"/>
        </w:rPr>
        <w:t>THE OFFICE OF CHIEF STATISTICIAN MALAYSIA</w:t>
      </w:r>
    </w:p>
    <w:p w14:paraId="38075F86" w14:textId="7E6B29DA" w:rsidR="005D1BFE" w:rsidRPr="00B77A46" w:rsidRDefault="005D1BFE" w:rsidP="0074624B">
      <w:pPr>
        <w:pStyle w:val="NoSpacing"/>
        <w:spacing w:line="300" w:lineRule="auto"/>
        <w:rPr>
          <w:rFonts w:ascii="Arial" w:hAnsi="Arial" w:cs="Arial"/>
          <w:b/>
          <w:bCs/>
          <w:iCs/>
          <w:sz w:val="24"/>
          <w:szCs w:val="24"/>
          <w:lang w:val="en-MY"/>
        </w:rPr>
      </w:pPr>
      <w:r w:rsidRPr="00B77A46">
        <w:rPr>
          <w:rFonts w:ascii="Arial" w:hAnsi="Arial" w:cs="Arial"/>
          <w:b/>
          <w:bCs/>
          <w:iCs/>
          <w:sz w:val="24"/>
          <w:szCs w:val="24"/>
          <w:lang w:val="en-MY"/>
        </w:rPr>
        <w:t>DEPARTMENT OF STATISTICS MALAYSIA</w:t>
      </w:r>
      <w:r w:rsidRPr="00B77A46">
        <w:rPr>
          <w:rFonts w:ascii="Arial" w:hAnsi="Arial" w:cs="Arial"/>
          <w:b/>
          <w:bCs/>
          <w:iCs/>
          <w:sz w:val="24"/>
          <w:szCs w:val="24"/>
          <w:lang w:val="en-MY"/>
        </w:rPr>
        <w:br/>
      </w:r>
      <w:r w:rsidR="0082104E">
        <w:rPr>
          <w:rFonts w:ascii="Arial" w:hAnsi="Arial" w:cs="Arial"/>
          <w:b/>
          <w:bCs/>
          <w:iCs/>
          <w:sz w:val="24"/>
          <w:szCs w:val="24"/>
          <w:lang w:val="en-MY"/>
        </w:rPr>
        <w:t>26</w:t>
      </w:r>
      <w:r w:rsidR="0082104E" w:rsidRPr="0082104E">
        <w:rPr>
          <w:rFonts w:ascii="Arial" w:hAnsi="Arial" w:cs="Arial"/>
          <w:b/>
          <w:bCs/>
          <w:iCs/>
          <w:sz w:val="24"/>
          <w:szCs w:val="24"/>
          <w:vertAlign w:val="superscript"/>
          <w:lang w:val="en-MY"/>
        </w:rPr>
        <w:t>th</w:t>
      </w:r>
      <w:r w:rsidR="0082104E">
        <w:rPr>
          <w:rFonts w:ascii="Arial" w:hAnsi="Arial" w:cs="Arial"/>
          <w:b/>
          <w:bCs/>
          <w:iCs/>
          <w:sz w:val="24"/>
          <w:szCs w:val="24"/>
          <w:lang w:val="en-MY"/>
        </w:rPr>
        <w:t xml:space="preserve"> May</w:t>
      </w:r>
      <w:r w:rsidR="006A7CDD" w:rsidRPr="00B77A46">
        <w:rPr>
          <w:rFonts w:ascii="Arial" w:hAnsi="Arial" w:cs="Arial"/>
          <w:b/>
          <w:bCs/>
          <w:iCs/>
          <w:sz w:val="24"/>
          <w:szCs w:val="24"/>
          <w:lang w:val="en-MY"/>
        </w:rPr>
        <w:t xml:space="preserve"> </w:t>
      </w:r>
      <w:r w:rsidRPr="00B77A46">
        <w:rPr>
          <w:rFonts w:ascii="Arial" w:hAnsi="Arial" w:cs="Arial"/>
          <w:b/>
          <w:bCs/>
          <w:iCs/>
          <w:sz w:val="24"/>
          <w:szCs w:val="24"/>
          <w:lang w:val="en-MY"/>
        </w:rPr>
        <w:t>2026</w:t>
      </w:r>
    </w:p>
    <w:p w14:paraId="7A79749A" w14:textId="207B2C3C" w:rsidR="0074624B" w:rsidRPr="00B77A46" w:rsidRDefault="0074624B" w:rsidP="00505DED">
      <w:pPr>
        <w:pStyle w:val="NoSpacing"/>
        <w:spacing w:line="276" w:lineRule="auto"/>
        <w:rPr>
          <w:rFonts w:ascii="Arial" w:hAnsi="Arial" w:cs="Arial"/>
          <w:b/>
          <w:sz w:val="24"/>
          <w:szCs w:val="24"/>
          <w:lang w:val="en-MY"/>
        </w:rPr>
      </w:pPr>
    </w:p>
    <w:p w14:paraId="305CD00A" w14:textId="77777777" w:rsidR="0074624B" w:rsidRPr="00B77A46" w:rsidRDefault="0074624B" w:rsidP="000E4D17">
      <w:pPr>
        <w:pStyle w:val="NoSpacing"/>
        <w:spacing w:line="276" w:lineRule="auto"/>
        <w:jc w:val="center"/>
        <w:rPr>
          <w:rFonts w:ascii="Arial" w:hAnsi="Arial" w:cs="Arial"/>
          <w:b/>
          <w:sz w:val="24"/>
          <w:szCs w:val="24"/>
          <w:lang w:val="en-MY"/>
        </w:rPr>
      </w:pPr>
    </w:p>
    <w:p w14:paraId="0F9C587D" w14:textId="39FAC798" w:rsidR="00CB2552" w:rsidRDefault="00CB2552" w:rsidP="00CB2552">
      <w:pPr>
        <w:pStyle w:val="NoSpacing"/>
        <w:spacing w:line="276" w:lineRule="auto"/>
        <w:jc w:val="center"/>
        <w:rPr>
          <w:rFonts w:ascii="Arial" w:hAnsi="Arial" w:cs="Arial"/>
          <w:b/>
          <w:i/>
          <w:sz w:val="24"/>
          <w:szCs w:val="24"/>
          <w:lang w:val="en-MY"/>
        </w:rPr>
      </w:pPr>
      <w:r w:rsidRPr="00505DED">
        <w:rPr>
          <w:rFonts w:ascii="Arial" w:hAnsi="Arial" w:cs="Arial"/>
          <w:b/>
          <w:i/>
          <w:sz w:val="24"/>
          <w:szCs w:val="24"/>
          <w:lang w:val="en-MY"/>
        </w:rPr>
        <w:t xml:space="preserve">Exhibit 1: </w:t>
      </w:r>
      <w:r w:rsidR="00505DED" w:rsidRPr="00505DED">
        <w:rPr>
          <w:rFonts w:ascii="Arial" w:hAnsi="Arial" w:cs="Arial"/>
          <w:b/>
          <w:i/>
          <w:sz w:val="24"/>
          <w:szCs w:val="24"/>
          <w:lang w:val="en-MY"/>
        </w:rPr>
        <w:t>Quarterly</w:t>
      </w:r>
      <w:r w:rsidRPr="00505DED">
        <w:rPr>
          <w:rFonts w:ascii="Arial" w:hAnsi="Arial" w:cs="Arial"/>
          <w:b/>
          <w:i/>
          <w:sz w:val="24"/>
          <w:szCs w:val="24"/>
          <w:lang w:val="en-MY"/>
        </w:rPr>
        <w:t xml:space="preserve"> Economic Indicator</w:t>
      </w:r>
      <w:r w:rsidR="00EA7028" w:rsidRPr="00505DED">
        <w:rPr>
          <w:rFonts w:ascii="Arial" w:hAnsi="Arial" w:cs="Arial"/>
          <w:b/>
          <w:i/>
          <w:sz w:val="24"/>
          <w:szCs w:val="24"/>
          <w:lang w:val="en-MY"/>
        </w:rPr>
        <w:t xml:space="preserve"> </w:t>
      </w:r>
    </w:p>
    <w:p w14:paraId="64C7D3DB" w14:textId="611756E4" w:rsidR="00505DED" w:rsidRDefault="00505DED" w:rsidP="00CB2552">
      <w:pPr>
        <w:pStyle w:val="NoSpacing"/>
        <w:spacing w:line="276" w:lineRule="auto"/>
        <w:jc w:val="center"/>
        <w:rPr>
          <w:rFonts w:ascii="Arial" w:hAnsi="Arial" w:cs="Arial"/>
          <w:b/>
          <w:i/>
          <w:sz w:val="24"/>
          <w:szCs w:val="24"/>
          <w:lang w:val="en-MY"/>
        </w:rPr>
      </w:pPr>
    </w:p>
    <w:p w14:paraId="576D5CF7" w14:textId="19945E67" w:rsidR="00505DED" w:rsidRDefault="00505DED" w:rsidP="00CB2552">
      <w:pPr>
        <w:pStyle w:val="NoSpacing"/>
        <w:spacing w:line="276" w:lineRule="auto"/>
        <w:jc w:val="center"/>
        <w:rPr>
          <w:rFonts w:ascii="Arial" w:hAnsi="Arial" w:cs="Arial"/>
          <w:b/>
          <w:i/>
          <w:sz w:val="24"/>
          <w:szCs w:val="24"/>
          <w:lang w:val="en-MY"/>
        </w:rPr>
      </w:pPr>
    </w:p>
    <w:p w14:paraId="174AEB75" w14:textId="77777777" w:rsidR="009F5F52" w:rsidRDefault="009F5F52" w:rsidP="009F5F52">
      <w:pPr>
        <w:pStyle w:val="NormalWeb"/>
        <w:jc w:val="center"/>
        <w:rPr>
          <w:lang w:val="en-AU" w:eastAsia="en-AU"/>
        </w:rPr>
      </w:pPr>
      <w:r>
        <w:rPr>
          <w:noProof/>
        </w:rPr>
        <w:drawing>
          <wp:inline distT="0" distB="0" distL="0" distR="0" wp14:anchorId="3037AD1D" wp14:editId="62F9018F">
            <wp:extent cx="5135880" cy="6507480"/>
            <wp:effectExtent l="0" t="0" r="7620" b="7620"/>
            <wp:docPr id="1" name="Picture 1" descr="C:\Users\izzati.sydina\Desktop\MESR\2026\5. Mei\PS\BARO\BI\BI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zzati.sydina\Desktop\MESR\2026\5. Mei\PS\BARO\BI\BI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5880" cy="6507480"/>
                    </a:xfrm>
                    <a:prstGeom prst="rect">
                      <a:avLst/>
                    </a:prstGeom>
                    <a:noFill/>
                    <a:ln>
                      <a:noFill/>
                    </a:ln>
                  </pic:spPr>
                </pic:pic>
              </a:graphicData>
            </a:graphic>
          </wp:inline>
        </w:drawing>
      </w:r>
    </w:p>
    <w:p w14:paraId="6BF653C2" w14:textId="09F3504A" w:rsidR="00505DED" w:rsidRPr="00B77A46" w:rsidRDefault="00505DED" w:rsidP="00505DED">
      <w:pPr>
        <w:pStyle w:val="NoSpacing"/>
        <w:spacing w:line="276" w:lineRule="auto"/>
        <w:jc w:val="center"/>
        <w:rPr>
          <w:rFonts w:ascii="Arial" w:hAnsi="Arial" w:cs="Arial"/>
          <w:b/>
          <w:i/>
          <w:sz w:val="24"/>
          <w:szCs w:val="24"/>
          <w:lang w:val="en-MY"/>
        </w:rPr>
      </w:pPr>
    </w:p>
    <w:p w14:paraId="7BFB7D10" w14:textId="7F985F7F" w:rsidR="00CB2552" w:rsidRPr="00B77A46" w:rsidRDefault="00CB2552" w:rsidP="00505DED">
      <w:pPr>
        <w:pStyle w:val="NormalWeb"/>
        <w:ind w:left="-284"/>
        <w:jc w:val="center"/>
      </w:pPr>
    </w:p>
    <w:p w14:paraId="79F9BDDA" w14:textId="77777777" w:rsidR="00CB2552" w:rsidRPr="00B77A46" w:rsidRDefault="00CB2552" w:rsidP="00CB2552">
      <w:pPr>
        <w:pStyle w:val="NoSpacing"/>
        <w:spacing w:line="276" w:lineRule="auto"/>
        <w:jc w:val="center"/>
        <w:rPr>
          <w:rFonts w:ascii="Arial" w:hAnsi="Arial" w:cs="Arial"/>
          <w:b/>
          <w:i/>
          <w:sz w:val="24"/>
          <w:szCs w:val="24"/>
          <w:lang w:val="en-MY"/>
        </w:rPr>
      </w:pPr>
    </w:p>
    <w:p w14:paraId="2F7B4D63" w14:textId="77777777" w:rsidR="009F5F52" w:rsidRDefault="009F5F52" w:rsidP="009F5F52">
      <w:pPr>
        <w:pStyle w:val="NormalWeb"/>
        <w:jc w:val="center"/>
        <w:rPr>
          <w:lang w:val="en-AU" w:eastAsia="en-AU"/>
        </w:rPr>
      </w:pPr>
      <w:r>
        <w:rPr>
          <w:noProof/>
        </w:rPr>
        <w:drawing>
          <wp:inline distT="0" distB="0" distL="0" distR="0" wp14:anchorId="2854A1B0" wp14:editId="51CBA4CB">
            <wp:extent cx="5189220" cy="6850380"/>
            <wp:effectExtent l="0" t="0" r="0" b="7620"/>
            <wp:docPr id="5" name="Picture 5" descr="C:\Users\izzati.sydina\Desktop\MESR\2026\5. Mei\PS\BARO\BI\BI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zzati.sydina\Desktop\MESR\2026\5. Mei\PS\BARO\BI\BI2.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9220" cy="6850380"/>
                    </a:xfrm>
                    <a:prstGeom prst="rect">
                      <a:avLst/>
                    </a:prstGeom>
                    <a:noFill/>
                    <a:ln>
                      <a:noFill/>
                    </a:ln>
                  </pic:spPr>
                </pic:pic>
              </a:graphicData>
            </a:graphic>
          </wp:inline>
        </w:drawing>
      </w:r>
    </w:p>
    <w:p w14:paraId="7CF55BE3" w14:textId="790728A5" w:rsidR="00CB2552" w:rsidRPr="00493B7F" w:rsidRDefault="00CB2552" w:rsidP="00CB2552">
      <w:pPr>
        <w:pStyle w:val="NormalWeb"/>
        <w:ind w:left="-426"/>
      </w:pPr>
    </w:p>
    <w:p w14:paraId="23A4430E" w14:textId="1EFFF3AF" w:rsidR="000E4D17" w:rsidRPr="00493B7F" w:rsidRDefault="000E4D17" w:rsidP="00D9264F">
      <w:pPr>
        <w:pStyle w:val="NoSpacing"/>
        <w:spacing w:line="276" w:lineRule="auto"/>
        <w:rPr>
          <w:rFonts w:ascii="Arial" w:hAnsi="Arial" w:cs="Arial"/>
          <w:b/>
          <w:sz w:val="24"/>
          <w:szCs w:val="24"/>
          <w:lang w:val="en-MY"/>
        </w:rPr>
      </w:pPr>
    </w:p>
    <w:sectPr w:rsidR="000E4D17" w:rsidRPr="00493B7F" w:rsidSect="00990A03">
      <w:headerReference w:type="default" r:id="rId12"/>
      <w:footerReference w:type="even" r:id="rId13"/>
      <w:footerReference w:type="default" r:id="rId14"/>
      <w:pgSz w:w="11909" w:h="16834" w:code="9"/>
      <w:pgMar w:top="450" w:right="1440" w:bottom="900" w:left="1440" w:header="360" w:footer="4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E2105" w14:textId="77777777" w:rsidR="00B41A03" w:rsidRDefault="00B41A03">
      <w:r>
        <w:separator/>
      </w:r>
    </w:p>
  </w:endnote>
  <w:endnote w:type="continuationSeparator" w:id="0">
    <w:p w14:paraId="252F387F" w14:textId="77777777" w:rsidR="00B41A03" w:rsidRDefault="00B4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8224706"/>
      <w:docPartObj>
        <w:docPartGallery w:val="Page Numbers (Bottom of Page)"/>
        <w:docPartUnique/>
      </w:docPartObj>
    </w:sdtPr>
    <w:sdtEndPr>
      <w:rPr>
        <w:noProof/>
      </w:rPr>
    </w:sdtEndPr>
    <w:sdtContent>
      <w:p w14:paraId="6865448C" w14:textId="76C79CD8" w:rsidR="00401A35" w:rsidRDefault="00401A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F9D3" w14:textId="77777777" w:rsidR="00401A35" w:rsidRDefault="00401A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5E435" w14:textId="0C06F725" w:rsidR="00BA03A8" w:rsidRPr="00BA03A8" w:rsidRDefault="00BA03A8" w:rsidP="00BA03A8">
    <w:pPr>
      <w:pStyle w:val="Footer"/>
      <w:pBdr>
        <w:top w:val="single" w:sz="4" w:space="0" w:color="auto"/>
      </w:pBdr>
      <w:rPr>
        <w:rFonts w:ascii="Arial" w:hAnsi="Arial" w:cs="Arial"/>
        <w:b/>
        <w:sz w:val="6"/>
        <w:szCs w:val="6"/>
      </w:rPr>
    </w:pPr>
  </w:p>
  <w:p w14:paraId="0C8F8FA4" w14:textId="0243F8CC" w:rsidR="001B0523" w:rsidRPr="00FC57D1" w:rsidRDefault="00401A35" w:rsidP="00BA03A8">
    <w:pPr>
      <w:pStyle w:val="Footer"/>
      <w:pBdr>
        <w:top w:val="single" w:sz="4" w:space="0" w:color="auto"/>
      </w:pBdr>
      <w:rPr>
        <w:rFonts w:ascii="Arial" w:hAnsi="Arial" w:cs="Arial"/>
        <w:b/>
        <w:color w:val="0070C0"/>
        <w:sz w:val="16"/>
        <w:szCs w:val="18"/>
      </w:rPr>
    </w:pPr>
    <w:r>
      <w:rPr>
        <w:rFonts w:ascii="Arial" w:hAnsi="Arial" w:cs="Arial"/>
        <w:i/>
        <w:noProof/>
        <w:color w:val="0070C0"/>
        <w:sz w:val="18"/>
        <w:szCs w:val="18"/>
        <w:shd w:val="clear" w:color="auto" w:fill="FFFFFF"/>
      </w:rPr>
      <w:drawing>
        <wp:anchor distT="0" distB="0" distL="114300" distR="114300" simplePos="0" relativeHeight="251658240" behindDoc="0" locked="0" layoutInCell="1" allowOverlap="1" wp14:anchorId="09B7C747" wp14:editId="12E4BCAB">
          <wp:simplePos x="0" y="0"/>
          <wp:positionH relativeFrom="column">
            <wp:posOffset>3368040</wp:posOffset>
          </wp:positionH>
          <wp:positionV relativeFrom="paragraph">
            <wp:posOffset>5080</wp:posOffset>
          </wp:positionV>
          <wp:extent cx="2376805" cy="252095"/>
          <wp:effectExtent l="0" t="0" r="4445" b="0"/>
          <wp:wrapThrough wrapText="bothSides">
            <wp:wrapPolygon edited="0">
              <wp:start x="10041" y="0"/>
              <wp:lineTo x="1212" y="1632"/>
              <wp:lineTo x="0" y="3264"/>
              <wp:lineTo x="0" y="19587"/>
              <wp:lineTo x="21467" y="19587"/>
              <wp:lineTo x="21467" y="0"/>
              <wp:lineTo x="20602" y="0"/>
              <wp:lineTo x="10041"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tsMalaysia Soc Med Portal.png"/>
                  <pic:cNvPicPr/>
                </pic:nvPicPr>
                <pic:blipFill rotWithShape="1">
                  <a:blip r:embed="rId1">
                    <a:extLst>
                      <a:ext uri="{28A0092B-C50C-407E-A947-70E740481C1C}">
                        <a14:useLocalDpi xmlns:a14="http://schemas.microsoft.com/office/drawing/2010/main" val="0"/>
                      </a:ext>
                    </a:extLst>
                  </a:blip>
                  <a:srcRect t="8312" b="12615"/>
                  <a:stretch/>
                </pic:blipFill>
                <pic:spPr bwMode="auto">
                  <a:xfrm>
                    <a:off x="0" y="0"/>
                    <a:ext cx="2376805" cy="252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2EEE" w:rsidRPr="00FC57D1">
      <w:rPr>
        <w:rFonts w:ascii="Arial" w:hAnsi="Arial" w:cs="Arial"/>
        <w:b/>
        <w:color w:val="0070C0"/>
        <w:sz w:val="16"/>
        <w:szCs w:val="18"/>
      </w:rPr>
      <w:t>STATISTIK NADI KEHIDUPAN</w:t>
    </w:r>
  </w:p>
  <w:p w14:paraId="16AE997E" w14:textId="32D6183A" w:rsidR="00D03497" w:rsidRPr="00D03497" w:rsidRDefault="00362EEE" w:rsidP="00D16E7D">
    <w:pPr>
      <w:pStyle w:val="Footer"/>
      <w:contextualSpacing/>
      <w:rPr>
        <w:rFonts w:ascii="Arial" w:hAnsi="Arial" w:cs="Arial"/>
        <w:i/>
        <w:color w:val="0070C0"/>
        <w:sz w:val="18"/>
        <w:szCs w:val="18"/>
        <w:shd w:val="clear" w:color="auto" w:fill="FFFFFF"/>
      </w:rPr>
    </w:pPr>
    <w:r w:rsidRPr="00FC57D1">
      <w:rPr>
        <w:rFonts w:ascii="Arial" w:hAnsi="Arial" w:cs="Arial"/>
        <w:i/>
        <w:color w:val="0070C0"/>
        <w:sz w:val="16"/>
        <w:szCs w:val="18"/>
        <w:shd w:val="clear" w:color="auto" w:fill="FFFFFF"/>
      </w:rPr>
      <w:t>Statistics is the Essence of Life</w:t>
    </w:r>
    <w:r w:rsidR="00D03497" w:rsidRPr="00FC57D1">
      <w:rPr>
        <w:rFonts w:ascii="Arial" w:hAnsi="Arial" w:cs="Arial"/>
        <w:i/>
        <w:color w:val="0070C0"/>
        <w:sz w:val="16"/>
        <w:szCs w:val="18"/>
        <w:shd w:val="clear" w:color="auto" w:fill="FFFFFF"/>
      </w:rPr>
      <w:t xml:space="preserve">     </w:t>
    </w:r>
    <w:r w:rsidR="001D7B94">
      <w:rPr>
        <w:rFonts w:ascii="Arial" w:hAnsi="Arial" w:cs="Arial"/>
        <w:i/>
        <w:color w:val="0070C0"/>
        <w:sz w:val="16"/>
        <w:szCs w:val="18"/>
        <w:shd w:val="clear" w:color="auto" w:fill="FFFFFF"/>
      </w:rPr>
      <w:tab/>
    </w:r>
    <w:r w:rsidR="009102A2" w:rsidRPr="009102A2">
      <w:rPr>
        <w:rFonts w:ascii="Arial" w:hAnsi="Arial" w:cs="Arial"/>
        <w:sz w:val="16"/>
        <w:szCs w:val="18"/>
        <w:shd w:val="clear" w:color="auto" w:fill="FFFFFF"/>
      </w:rPr>
      <w:fldChar w:fldCharType="begin"/>
    </w:r>
    <w:r w:rsidR="009102A2" w:rsidRPr="009102A2">
      <w:rPr>
        <w:rFonts w:ascii="Arial" w:hAnsi="Arial" w:cs="Arial"/>
        <w:sz w:val="16"/>
        <w:szCs w:val="18"/>
        <w:shd w:val="clear" w:color="auto" w:fill="FFFFFF"/>
      </w:rPr>
      <w:instrText xml:space="preserve"> PAGE   \* MERGEFORMAT </w:instrText>
    </w:r>
    <w:r w:rsidR="009102A2" w:rsidRPr="009102A2">
      <w:rPr>
        <w:rFonts w:ascii="Arial" w:hAnsi="Arial" w:cs="Arial"/>
        <w:sz w:val="16"/>
        <w:szCs w:val="18"/>
        <w:shd w:val="clear" w:color="auto" w:fill="FFFFFF"/>
      </w:rPr>
      <w:fldChar w:fldCharType="separate"/>
    </w:r>
    <w:r w:rsidR="009102A2" w:rsidRPr="009102A2">
      <w:rPr>
        <w:rFonts w:ascii="Arial" w:hAnsi="Arial" w:cs="Arial"/>
        <w:noProof/>
        <w:sz w:val="16"/>
        <w:szCs w:val="18"/>
        <w:shd w:val="clear" w:color="auto" w:fill="FFFFFF"/>
      </w:rPr>
      <w:t>1</w:t>
    </w:r>
    <w:r w:rsidR="009102A2" w:rsidRPr="009102A2">
      <w:rPr>
        <w:rFonts w:ascii="Arial" w:hAnsi="Arial" w:cs="Arial"/>
        <w:noProof/>
        <w:sz w:val="16"/>
        <w:szCs w:val="18"/>
        <w:shd w:val="clear" w:color="auto" w:fill="FFFFFF"/>
      </w:rPr>
      <w:fldChar w:fldCharType="end"/>
    </w:r>
    <w:r w:rsidR="001D7B94">
      <w:rPr>
        <w:rFonts w:ascii="Arial" w:hAnsi="Arial" w:cs="Arial"/>
        <w:i/>
        <w:color w:val="0070C0"/>
        <w:sz w:val="16"/>
        <w:szCs w:val="18"/>
        <w:shd w:val="clear" w:color="auto" w:fill="FFFFF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8C4CD" w14:textId="77777777" w:rsidR="00B41A03" w:rsidRDefault="00B41A03">
      <w:r>
        <w:separator/>
      </w:r>
    </w:p>
  </w:footnote>
  <w:footnote w:type="continuationSeparator" w:id="0">
    <w:p w14:paraId="0D258BF1" w14:textId="77777777" w:rsidR="00B41A03" w:rsidRDefault="00B41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50107" w14:textId="729DCFFC" w:rsidR="0054569D" w:rsidRDefault="0054569D">
    <w:pPr>
      <w:pStyle w:val="Header"/>
    </w:pPr>
  </w:p>
  <w:p w14:paraId="61652D94" w14:textId="3D98A975" w:rsidR="0054569D" w:rsidRPr="0054569D" w:rsidRDefault="0054569D" w:rsidP="0054569D">
    <w:pPr>
      <w:jc w:val="center"/>
      <w:rPr>
        <w:rFonts w:ascii="Arial" w:hAnsi="Arial" w:cs="Arial"/>
        <w:b/>
        <w:sz w:val="18"/>
        <w:szCs w:val="18"/>
        <w:lang w:val="ms-M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72192"/>
    <w:multiLevelType w:val="hybridMultilevel"/>
    <w:tmpl w:val="291A2E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487708"/>
    <w:multiLevelType w:val="hybridMultilevel"/>
    <w:tmpl w:val="881E61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47669C"/>
    <w:multiLevelType w:val="hybridMultilevel"/>
    <w:tmpl w:val="9BFCA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01933"/>
    <w:multiLevelType w:val="hybridMultilevel"/>
    <w:tmpl w:val="08B4241A"/>
    <w:lvl w:ilvl="0" w:tplc="4409000F">
      <w:start w:val="1"/>
      <w:numFmt w:val="decimal"/>
      <w:lvlText w:val="%1."/>
      <w:lvlJc w:val="left"/>
      <w:pPr>
        <w:ind w:left="720" w:hanging="360"/>
      </w:pPr>
    </w:lvl>
    <w:lvl w:ilvl="1" w:tplc="44090019">
      <w:start w:val="1"/>
      <w:numFmt w:val="decimal"/>
      <w:lvlText w:val="%2."/>
      <w:lvlJc w:val="left"/>
      <w:pPr>
        <w:tabs>
          <w:tab w:val="num" w:pos="1440"/>
        </w:tabs>
        <w:ind w:left="1440" w:hanging="360"/>
      </w:pPr>
    </w:lvl>
    <w:lvl w:ilvl="2" w:tplc="4409001B">
      <w:start w:val="1"/>
      <w:numFmt w:val="decimal"/>
      <w:lvlText w:val="%3."/>
      <w:lvlJc w:val="left"/>
      <w:pPr>
        <w:tabs>
          <w:tab w:val="num" w:pos="2160"/>
        </w:tabs>
        <w:ind w:left="2160" w:hanging="360"/>
      </w:pPr>
    </w:lvl>
    <w:lvl w:ilvl="3" w:tplc="4409000F">
      <w:start w:val="1"/>
      <w:numFmt w:val="decimal"/>
      <w:lvlText w:val="%4."/>
      <w:lvlJc w:val="left"/>
      <w:pPr>
        <w:tabs>
          <w:tab w:val="num" w:pos="2880"/>
        </w:tabs>
        <w:ind w:left="2880" w:hanging="360"/>
      </w:pPr>
    </w:lvl>
    <w:lvl w:ilvl="4" w:tplc="44090019">
      <w:start w:val="1"/>
      <w:numFmt w:val="decimal"/>
      <w:lvlText w:val="%5."/>
      <w:lvlJc w:val="left"/>
      <w:pPr>
        <w:tabs>
          <w:tab w:val="num" w:pos="3600"/>
        </w:tabs>
        <w:ind w:left="3600" w:hanging="360"/>
      </w:pPr>
    </w:lvl>
    <w:lvl w:ilvl="5" w:tplc="4409001B">
      <w:start w:val="1"/>
      <w:numFmt w:val="decimal"/>
      <w:lvlText w:val="%6."/>
      <w:lvlJc w:val="left"/>
      <w:pPr>
        <w:tabs>
          <w:tab w:val="num" w:pos="4320"/>
        </w:tabs>
        <w:ind w:left="4320" w:hanging="360"/>
      </w:pPr>
    </w:lvl>
    <w:lvl w:ilvl="6" w:tplc="4409000F">
      <w:start w:val="1"/>
      <w:numFmt w:val="decimal"/>
      <w:lvlText w:val="%7."/>
      <w:lvlJc w:val="left"/>
      <w:pPr>
        <w:tabs>
          <w:tab w:val="num" w:pos="5040"/>
        </w:tabs>
        <w:ind w:left="5040" w:hanging="360"/>
      </w:pPr>
    </w:lvl>
    <w:lvl w:ilvl="7" w:tplc="44090019">
      <w:start w:val="1"/>
      <w:numFmt w:val="decimal"/>
      <w:lvlText w:val="%8."/>
      <w:lvlJc w:val="left"/>
      <w:pPr>
        <w:tabs>
          <w:tab w:val="num" w:pos="5760"/>
        </w:tabs>
        <w:ind w:left="5760" w:hanging="360"/>
      </w:pPr>
    </w:lvl>
    <w:lvl w:ilvl="8" w:tplc="4409001B">
      <w:start w:val="1"/>
      <w:numFmt w:val="decimal"/>
      <w:lvlText w:val="%9."/>
      <w:lvlJc w:val="left"/>
      <w:pPr>
        <w:tabs>
          <w:tab w:val="num" w:pos="6480"/>
        </w:tabs>
        <w:ind w:left="6480" w:hanging="360"/>
      </w:pPr>
    </w:lvl>
  </w:abstractNum>
  <w:abstractNum w:abstractNumId="4" w15:restartNumberingAfterBreak="0">
    <w:nsid w:val="15EB0C78"/>
    <w:multiLevelType w:val="hybridMultilevel"/>
    <w:tmpl w:val="2938CC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300E76"/>
    <w:multiLevelType w:val="hybridMultilevel"/>
    <w:tmpl w:val="DE7A9DD2"/>
    <w:lvl w:ilvl="0" w:tplc="0C09000F">
      <w:start w:val="1"/>
      <w:numFmt w:val="decimal"/>
      <w:lvlText w:val="%1."/>
      <w:lvlJc w:val="left"/>
      <w:pPr>
        <w:ind w:left="960" w:hanging="360"/>
      </w:pPr>
    </w:lvl>
    <w:lvl w:ilvl="1" w:tplc="0C090019" w:tentative="1">
      <w:start w:val="1"/>
      <w:numFmt w:val="lowerLetter"/>
      <w:lvlText w:val="%2."/>
      <w:lvlJc w:val="left"/>
      <w:pPr>
        <w:ind w:left="1680" w:hanging="360"/>
      </w:pPr>
    </w:lvl>
    <w:lvl w:ilvl="2" w:tplc="0C09001B" w:tentative="1">
      <w:start w:val="1"/>
      <w:numFmt w:val="lowerRoman"/>
      <w:lvlText w:val="%3."/>
      <w:lvlJc w:val="right"/>
      <w:pPr>
        <w:ind w:left="2400" w:hanging="180"/>
      </w:pPr>
    </w:lvl>
    <w:lvl w:ilvl="3" w:tplc="0C09000F" w:tentative="1">
      <w:start w:val="1"/>
      <w:numFmt w:val="decimal"/>
      <w:lvlText w:val="%4."/>
      <w:lvlJc w:val="left"/>
      <w:pPr>
        <w:ind w:left="3120" w:hanging="360"/>
      </w:pPr>
    </w:lvl>
    <w:lvl w:ilvl="4" w:tplc="0C090019" w:tentative="1">
      <w:start w:val="1"/>
      <w:numFmt w:val="lowerLetter"/>
      <w:lvlText w:val="%5."/>
      <w:lvlJc w:val="left"/>
      <w:pPr>
        <w:ind w:left="3840" w:hanging="360"/>
      </w:pPr>
    </w:lvl>
    <w:lvl w:ilvl="5" w:tplc="0C09001B" w:tentative="1">
      <w:start w:val="1"/>
      <w:numFmt w:val="lowerRoman"/>
      <w:lvlText w:val="%6."/>
      <w:lvlJc w:val="right"/>
      <w:pPr>
        <w:ind w:left="4560" w:hanging="180"/>
      </w:pPr>
    </w:lvl>
    <w:lvl w:ilvl="6" w:tplc="0C09000F" w:tentative="1">
      <w:start w:val="1"/>
      <w:numFmt w:val="decimal"/>
      <w:lvlText w:val="%7."/>
      <w:lvlJc w:val="left"/>
      <w:pPr>
        <w:ind w:left="5280" w:hanging="360"/>
      </w:pPr>
    </w:lvl>
    <w:lvl w:ilvl="7" w:tplc="0C090019" w:tentative="1">
      <w:start w:val="1"/>
      <w:numFmt w:val="lowerLetter"/>
      <w:lvlText w:val="%8."/>
      <w:lvlJc w:val="left"/>
      <w:pPr>
        <w:ind w:left="6000" w:hanging="360"/>
      </w:pPr>
    </w:lvl>
    <w:lvl w:ilvl="8" w:tplc="0C09001B" w:tentative="1">
      <w:start w:val="1"/>
      <w:numFmt w:val="lowerRoman"/>
      <w:lvlText w:val="%9."/>
      <w:lvlJc w:val="right"/>
      <w:pPr>
        <w:ind w:left="6720" w:hanging="180"/>
      </w:pPr>
    </w:lvl>
  </w:abstractNum>
  <w:abstractNum w:abstractNumId="6" w15:restartNumberingAfterBreak="0">
    <w:nsid w:val="1A2B1537"/>
    <w:multiLevelType w:val="multilevel"/>
    <w:tmpl w:val="0A00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F8391C"/>
    <w:multiLevelType w:val="hybridMultilevel"/>
    <w:tmpl w:val="4E8CA1EE"/>
    <w:lvl w:ilvl="0" w:tplc="56A42AC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3B3568"/>
    <w:multiLevelType w:val="hybridMultilevel"/>
    <w:tmpl w:val="2048C282"/>
    <w:lvl w:ilvl="0" w:tplc="56A42AC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55E6A98"/>
    <w:multiLevelType w:val="hybridMultilevel"/>
    <w:tmpl w:val="0CA8F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DC41289"/>
    <w:multiLevelType w:val="hybridMultilevel"/>
    <w:tmpl w:val="532071F6"/>
    <w:lvl w:ilvl="0" w:tplc="4409000F">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3CA14EE"/>
    <w:multiLevelType w:val="hybridMultilevel"/>
    <w:tmpl w:val="30F8188A"/>
    <w:lvl w:ilvl="0" w:tplc="CD363D32">
      <w:start w:val="1"/>
      <w:numFmt w:val="decimal"/>
      <w:lvlText w:val="%1."/>
      <w:lvlJc w:val="left"/>
      <w:pPr>
        <w:ind w:left="907" w:hanging="360"/>
      </w:pPr>
      <w:rPr>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 w15:restartNumberingAfterBreak="0">
    <w:nsid w:val="6E643F87"/>
    <w:multiLevelType w:val="multilevel"/>
    <w:tmpl w:val="E406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642044"/>
    <w:multiLevelType w:val="hybridMultilevel"/>
    <w:tmpl w:val="1AC2F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D32217"/>
    <w:multiLevelType w:val="hybridMultilevel"/>
    <w:tmpl w:val="FE38747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13"/>
  </w:num>
  <w:num w:numId="5">
    <w:abstractNumId w:val="7"/>
  </w:num>
  <w:num w:numId="6">
    <w:abstractNumId w:val="8"/>
  </w:num>
  <w:num w:numId="7">
    <w:abstractNumId w:val="12"/>
  </w:num>
  <w:num w:numId="8">
    <w:abstractNumId w:val="6"/>
  </w:num>
  <w:num w:numId="9">
    <w:abstractNumId w:val="5"/>
  </w:num>
  <w:num w:numId="10">
    <w:abstractNumId w:val="4"/>
  </w:num>
  <w:num w:numId="11">
    <w:abstractNumId w:val="1"/>
  </w:num>
  <w:num w:numId="12">
    <w:abstractNumId w:val="10"/>
  </w:num>
  <w:num w:numId="13">
    <w:abstractNumId w:val="9"/>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49">
      <o:colormru v:ext="edit" colors="#ffeaaf,#fff4d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37E"/>
    <w:rsid w:val="000163C1"/>
    <w:rsid w:val="000222D3"/>
    <w:rsid w:val="00023C61"/>
    <w:rsid w:val="000244D1"/>
    <w:rsid w:val="00025855"/>
    <w:rsid w:val="00041DEF"/>
    <w:rsid w:val="000478D3"/>
    <w:rsid w:val="00047B56"/>
    <w:rsid w:val="00050424"/>
    <w:rsid w:val="00057202"/>
    <w:rsid w:val="00071F7F"/>
    <w:rsid w:val="000978D8"/>
    <w:rsid w:val="00097C14"/>
    <w:rsid w:val="000A3551"/>
    <w:rsid w:val="000A52E1"/>
    <w:rsid w:val="000B051B"/>
    <w:rsid w:val="000B3945"/>
    <w:rsid w:val="000C1F55"/>
    <w:rsid w:val="000C518B"/>
    <w:rsid w:val="000C5B76"/>
    <w:rsid w:val="000C66BE"/>
    <w:rsid w:val="000C707E"/>
    <w:rsid w:val="000E13D4"/>
    <w:rsid w:val="000E2733"/>
    <w:rsid w:val="000E4D17"/>
    <w:rsid w:val="000E4D69"/>
    <w:rsid w:val="000F1904"/>
    <w:rsid w:val="000F5C89"/>
    <w:rsid w:val="000F7AB9"/>
    <w:rsid w:val="001009FE"/>
    <w:rsid w:val="001039FF"/>
    <w:rsid w:val="00117204"/>
    <w:rsid w:val="00117975"/>
    <w:rsid w:val="00125C2C"/>
    <w:rsid w:val="00132119"/>
    <w:rsid w:val="00141CA4"/>
    <w:rsid w:val="0014290F"/>
    <w:rsid w:val="0014295D"/>
    <w:rsid w:val="0014296B"/>
    <w:rsid w:val="00144CCB"/>
    <w:rsid w:val="001470C1"/>
    <w:rsid w:val="001528CC"/>
    <w:rsid w:val="00157A84"/>
    <w:rsid w:val="001613D5"/>
    <w:rsid w:val="001630C6"/>
    <w:rsid w:val="001637ED"/>
    <w:rsid w:val="00172F10"/>
    <w:rsid w:val="00180819"/>
    <w:rsid w:val="00182C9D"/>
    <w:rsid w:val="001863EC"/>
    <w:rsid w:val="0019112F"/>
    <w:rsid w:val="001A67E0"/>
    <w:rsid w:val="001A7950"/>
    <w:rsid w:val="001B0523"/>
    <w:rsid w:val="001B50B5"/>
    <w:rsid w:val="001C3FC2"/>
    <w:rsid w:val="001D7B94"/>
    <w:rsid w:val="001E57CA"/>
    <w:rsid w:val="001E6E33"/>
    <w:rsid w:val="001F0647"/>
    <w:rsid w:val="001F6A33"/>
    <w:rsid w:val="002010F7"/>
    <w:rsid w:val="0021306C"/>
    <w:rsid w:val="00217F4D"/>
    <w:rsid w:val="00222A34"/>
    <w:rsid w:val="00225BFB"/>
    <w:rsid w:val="00230A30"/>
    <w:rsid w:val="00230B03"/>
    <w:rsid w:val="002318F2"/>
    <w:rsid w:val="00243792"/>
    <w:rsid w:val="00250DBE"/>
    <w:rsid w:val="00260224"/>
    <w:rsid w:val="00264403"/>
    <w:rsid w:val="00273B12"/>
    <w:rsid w:val="0029074F"/>
    <w:rsid w:val="00291856"/>
    <w:rsid w:val="002A4607"/>
    <w:rsid w:val="002A7272"/>
    <w:rsid w:val="002B2AC7"/>
    <w:rsid w:val="002B4053"/>
    <w:rsid w:val="002B702C"/>
    <w:rsid w:val="002C205D"/>
    <w:rsid w:val="002C297A"/>
    <w:rsid w:val="002C3303"/>
    <w:rsid w:val="002D03EF"/>
    <w:rsid w:val="002D1C97"/>
    <w:rsid w:val="002E0853"/>
    <w:rsid w:val="002E0A78"/>
    <w:rsid w:val="002E27FE"/>
    <w:rsid w:val="002F4AEC"/>
    <w:rsid w:val="0030138A"/>
    <w:rsid w:val="00304E9E"/>
    <w:rsid w:val="00314CE8"/>
    <w:rsid w:val="003153F6"/>
    <w:rsid w:val="003329A0"/>
    <w:rsid w:val="003352D2"/>
    <w:rsid w:val="00340749"/>
    <w:rsid w:val="00343D7A"/>
    <w:rsid w:val="0035104D"/>
    <w:rsid w:val="00352A17"/>
    <w:rsid w:val="0036217B"/>
    <w:rsid w:val="00362EEE"/>
    <w:rsid w:val="00364961"/>
    <w:rsid w:val="003659A5"/>
    <w:rsid w:val="003746AA"/>
    <w:rsid w:val="003750DE"/>
    <w:rsid w:val="0037741C"/>
    <w:rsid w:val="0038164A"/>
    <w:rsid w:val="00384010"/>
    <w:rsid w:val="00385537"/>
    <w:rsid w:val="003877FD"/>
    <w:rsid w:val="00394684"/>
    <w:rsid w:val="00395AAE"/>
    <w:rsid w:val="003962DB"/>
    <w:rsid w:val="003B0588"/>
    <w:rsid w:val="003B2AA1"/>
    <w:rsid w:val="003B7624"/>
    <w:rsid w:val="003C3713"/>
    <w:rsid w:val="003C78C4"/>
    <w:rsid w:val="003D2289"/>
    <w:rsid w:val="003D570E"/>
    <w:rsid w:val="003E0B52"/>
    <w:rsid w:val="003F0619"/>
    <w:rsid w:val="003F2798"/>
    <w:rsid w:val="003F60E3"/>
    <w:rsid w:val="00401A35"/>
    <w:rsid w:val="00404147"/>
    <w:rsid w:val="004042A6"/>
    <w:rsid w:val="004212FC"/>
    <w:rsid w:val="00451584"/>
    <w:rsid w:val="004649AB"/>
    <w:rsid w:val="00470A46"/>
    <w:rsid w:val="00475720"/>
    <w:rsid w:val="00480A77"/>
    <w:rsid w:val="00482312"/>
    <w:rsid w:val="004864DB"/>
    <w:rsid w:val="00493B7F"/>
    <w:rsid w:val="00495B5A"/>
    <w:rsid w:val="00497F02"/>
    <w:rsid w:val="004A5862"/>
    <w:rsid w:val="004A7B99"/>
    <w:rsid w:val="004B1220"/>
    <w:rsid w:val="004C3E5B"/>
    <w:rsid w:val="004D1A0A"/>
    <w:rsid w:val="004D675B"/>
    <w:rsid w:val="004D6AC6"/>
    <w:rsid w:val="004E218D"/>
    <w:rsid w:val="00501892"/>
    <w:rsid w:val="00504BCE"/>
    <w:rsid w:val="00505DED"/>
    <w:rsid w:val="0051137E"/>
    <w:rsid w:val="0051430D"/>
    <w:rsid w:val="0052466A"/>
    <w:rsid w:val="00534661"/>
    <w:rsid w:val="0054222F"/>
    <w:rsid w:val="00545056"/>
    <w:rsid w:val="0054569D"/>
    <w:rsid w:val="00554C3B"/>
    <w:rsid w:val="0056454B"/>
    <w:rsid w:val="0056732F"/>
    <w:rsid w:val="00575F6F"/>
    <w:rsid w:val="00576255"/>
    <w:rsid w:val="00583F23"/>
    <w:rsid w:val="00584255"/>
    <w:rsid w:val="00584997"/>
    <w:rsid w:val="00585BA8"/>
    <w:rsid w:val="00590B06"/>
    <w:rsid w:val="00594787"/>
    <w:rsid w:val="00597989"/>
    <w:rsid w:val="005B0072"/>
    <w:rsid w:val="005C2BFE"/>
    <w:rsid w:val="005D1BFE"/>
    <w:rsid w:val="005D1ECA"/>
    <w:rsid w:val="005D21ED"/>
    <w:rsid w:val="005E0B51"/>
    <w:rsid w:val="005E16A7"/>
    <w:rsid w:val="005E1C9C"/>
    <w:rsid w:val="005F63DD"/>
    <w:rsid w:val="006014D6"/>
    <w:rsid w:val="00601F93"/>
    <w:rsid w:val="006021DF"/>
    <w:rsid w:val="00605100"/>
    <w:rsid w:val="00605271"/>
    <w:rsid w:val="0060639F"/>
    <w:rsid w:val="0061011A"/>
    <w:rsid w:val="00611E95"/>
    <w:rsid w:val="006245B9"/>
    <w:rsid w:val="006251FB"/>
    <w:rsid w:val="00630E9E"/>
    <w:rsid w:val="00635C26"/>
    <w:rsid w:val="0064520F"/>
    <w:rsid w:val="00647B37"/>
    <w:rsid w:val="00647F4D"/>
    <w:rsid w:val="00665EFF"/>
    <w:rsid w:val="00670DFA"/>
    <w:rsid w:val="00674673"/>
    <w:rsid w:val="00680FA0"/>
    <w:rsid w:val="00683CC3"/>
    <w:rsid w:val="00692F63"/>
    <w:rsid w:val="00697837"/>
    <w:rsid w:val="006A1BF2"/>
    <w:rsid w:val="006A45CB"/>
    <w:rsid w:val="006A7CDD"/>
    <w:rsid w:val="006B1605"/>
    <w:rsid w:val="006B4208"/>
    <w:rsid w:val="006B7551"/>
    <w:rsid w:val="006C5A9E"/>
    <w:rsid w:val="006C6E1B"/>
    <w:rsid w:val="006D085C"/>
    <w:rsid w:val="006D0F56"/>
    <w:rsid w:val="006D5A3D"/>
    <w:rsid w:val="006E0E34"/>
    <w:rsid w:val="006F6654"/>
    <w:rsid w:val="007061F9"/>
    <w:rsid w:val="007110A9"/>
    <w:rsid w:val="00714529"/>
    <w:rsid w:val="007227C7"/>
    <w:rsid w:val="007255C6"/>
    <w:rsid w:val="007419B6"/>
    <w:rsid w:val="00744CBA"/>
    <w:rsid w:val="0074624B"/>
    <w:rsid w:val="00754853"/>
    <w:rsid w:val="007830D2"/>
    <w:rsid w:val="00784DD9"/>
    <w:rsid w:val="00791DFA"/>
    <w:rsid w:val="007A1EB9"/>
    <w:rsid w:val="007B5696"/>
    <w:rsid w:val="007C1D86"/>
    <w:rsid w:val="007C2F40"/>
    <w:rsid w:val="007C4E99"/>
    <w:rsid w:val="007D111E"/>
    <w:rsid w:val="007D320E"/>
    <w:rsid w:val="007E5C39"/>
    <w:rsid w:val="007E76F6"/>
    <w:rsid w:val="00801AAA"/>
    <w:rsid w:val="00807617"/>
    <w:rsid w:val="00807D21"/>
    <w:rsid w:val="00816451"/>
    <w:rsid w:val="00820754"/>
    <w:rsid w:val="0082104E"/>
    <w:rsid w:val="00823742"/>
    <w:rsid w:val="00824CC9"/>
    <w:rsid w:val="00827737"/>
    <w:rsid w:val="00830A2A"/>
    <w:rsid w:val="00847FD1"/>
    <w:rsid w:val="00850BC5"/>
    <w:rsid w:val="00854C6D"/>
    <w:rsid w:val="00855203"/>
    <w:rsid w:val="00855643"/>
    <w:rsid w:val="008606D2"/>
    <w:rsid w:val="00860C64"/>
    <w:rsid w:val="00861B14"/>
    <w:rsid w:val="00874FE4"/>
    <w:rsid w:val="008750EF"/>
    <w:rsid w:val="00885267"/>
    <w:rsid w:val="008855AE"/>
    <w:rsid w:val="00896893"/>
    <w:rsid w:val="008A2784"/>
    <w:rsid w:val="008B103F"/>
    <w:rsid w:val="008B18E9"/>
    <w:rsid w:val="008B3D15"/>
    <w:rsid w:val="008C231B"/>
    <w:rsid w:val="008C3676"/>
    <w:rsid w:val="008C493E"/>
    <w:rsid w:val="008D09DB"/>
    <w:rsid w:val="008D1CCD"/>
    <w:rsid w:val="008D243E"/>
    <w:rsid w:val="008F25A1"/>
    <w:rsid w:val="008F3CC9"/>
    <w:rsid w:val="0090434D"/>
    <w:rsid w:val="00907A48"/>
    <w:rsid w:val="009102A2"/>
    <w:rsid w:val="00934FAB"/>
    <w:rsid w:val="009352A8"/>
    <w:rsid w:val="00942090"/>
    <w:rsid w:val="009423B9"/>
    <w:rsid w:val="00942408"/>
    <w:rsid w:val="0095278A"/>
    <w:rsid w:val="0095428A"/>
    <w:rsid w:val="009562EE"/>
    <w:rsid w:val="00966341"/>
    <w:rsid w:val="00970AF4"/>
    <w:rsid w:val="009735A8"/>
    <w:rsid w:val="00976128"/>
    <w:rsid w:val="00983EB4"/>
    <w:rsid w:val="00990A03"/>
    <w:rsid w:val="00990ADE"/>
    <w:rsid w:val="00995862"/>
    <w:rsid w:val="009A2B8E"/>
    <w:rsid w:val="009A4111"/>
    <w:rsid w:val="009A56B4"/>
    <w:rsid w:val="009B3137"/>
    <w:rsid w:val="009E007B"/>
    <w:rsid w:val="009E47A3"/>
    <w:rsid w:val="009E48B1"/>
    <w:rsid w:val="009F5F52"/>
    <w:rsid w:val="00A02654"/>
    <w:rsid w:val="00A27840"/>
    <w:rsid w:val="00A3164B"/>
    <w:rsid w:val="00A50EDD"/>
    <w:rsid w:val="00A54965"/>
    <w:rsid w:val="00A54B38"/>
    <w:rsid w:val="00A56516"/>
    <w:rsid w:val="00A5776D"/>
    <w:rsid w:val="00A656BD"/>
    <w:rsid w:val="00A67964"/>
    <w:rsid w:val="00A746CA"/>
    <w:rsid w:val="00A812E0"/>
    <w:rsid w:val="00AB2422"/>
    <w:rsid w:val="00AB37A4"/>
    <w:rsid w:val="00AC155B"/>
    <w:rsid w:val="00AF02AD"/>
    <w:rsid w:val="00AF2F85"/>
    <w:rsid w:val="00B0728C"/>
    <w:rsid w:val="00B14F67"/>
    <w:rsid w:val="00B1529F"/>
    <w:rsid w:val="00B17616"/>
    <w:rsid w:val="00B23791"/>
    <w:rsid w:val="00B34243"/>
    <w:rsid w:val="00B41A03"/>
    <w:rsid w:val="00B52046"/>
    <w:rsid w:val="00B54107"/>
    <w:rsid w:val="00B55E89"/>
    <w:rsid w:val="00B6454B"/>
    <w:rsid w:val="00B6533E"/>
    <w:rsid w:val="00B676A7"/>
    <w:rsid w:val="00B77A46"/>
    <w:rsid w:val="00B812E1"/>
    <w:rsid w:val="00B81387"/>
    <w:rsid w:val="00B94BAC"/>
    <w:rsid w:val="00BA03A8"/>
    <w:rsid w:val="00BA10FB"/>
    <w:rsid w:val="00BB05E7"/>
    <w:rsid w:val="00BC397B"/>
    <w:rsid w:val="00BC79CA"/>
    <w:rsid w:val="00BC7D46"/>
    <w:rsid w:val="00BD4308"/>
    <w:rsid w:val="00BD50CF"/>
    <w:rsid w:val="00BD5A17"/>
    <w:rsid w:val="00BE17EB"/>
    <w:rsid w:val="00BE7F4F"/>
    <w:rsid w:val="00BF1616"/>
    <w:rsid w:val="00C02667"/>
    <w:rsid w:val="00C02AE8"/>
    <w:rsid w:val="00C03600"/>
    <w:rsid w:val="00C070FD"/>
    <w:rsid w:val="00C1575C"/>
    <w:rsid w:val="00C30789"/>
    <w:rsid w:val="00C35A11"/>
    <w:rsid w:val="00C655E3"/>
    <w:rsid w:val="00C66916"/>
    <w:rsid w:val="00C917B5"/>
    <w:rsid w:val="00C979E5"/>
    <w:rsid w:val="00CA7890"/>
    <w:rsid w:val="00CB2552"/>
    <w:rsid w:val="00CC55ED"/>
    <w:rsid w:val="00CD0A9C"/>
    <w:rsid w:val="00CE0B37"/>
    <w:rsid w:val="00CE0F41"/>
    <w:rsid w:val="00CE2BC5"/>
    <w:rsid w:val="00CF5681"/>
    <w:rsid w:val="00CF70F9"/>
    <w:rsid w:val="00D03497"/>
    <w:rsid w:val="00D06C39"/>
    <w:rsid w:val="00D16E7D"/>
    <w:rsid w:val="00D2068B"/>
    <w:rsid w:val="00D219D0"/>
    <w:rsid w:val="00D27B81"/>
    <w:rsid w:val="00D27F76"/>
    <w:rsid w:val="00D35CB3"/>
    <w:rsid w:val="00D40309"/>
    <w:rsid w:val="00D41429"/>
    <w:rsid w:val="00D51387"/>
    <w:rsid w:val="00D60032"/>
    <w:rsid w:val="00D74B2A"/>
    <w:rsid w:val="00D86709"/>
    <w:rsid w:val="00D9264F"/>
    <w:rsid w:val="00DA03E5"/>
    <w:rsid w:val="00DA3226"/>
    <w:rsid w:val="00DA7548"/>
    <w:rsid w:val="00DB2621"/>
    <w:rsid w:val="00DB3408"/>
    <w:rsid w:val="00DB7DA9"/>
    <w:rsid w:val="00DC1EDF"/>
    <w:rsid w:val="00DD39A3"/>
    <w:rsid w:val="00E00EFF"/>
    <w:rsid w:val="00E11DE1"/>
    <w:rsid w:val="00E20725"/>
    <w:rsid w:val="00E31166"/>
    <w:rsid w:val="00E32DEF"/>
    <w:rsid w:val="00E36F16"/>
    <w:rsid w:val="00E511D8"/>
    <w:rsid w:val="00E5201A"/>
    <w:rsid w:val="00E521FD"/>
    <w:rsid w:val="00E52F4E"/>
    <w:rsid w:val="00E63434"/>
    <w:rsid w:val="00E656C3"/>
    <w:rsid w:val="00E757F7"/>
    <w:rsid w:val="00EA3900"/>
    <w:rsid w:val="00EA7028"/>
    <w:rsid w:val="00EC5FCA"/>
    <w:rsid w:val="00ED0811"/>
    <w:rsid w:val="00ED2BDC"/>
    <w:rsid w:val="00ED5EDE"/>
    <w:rsid w:val="00ED7954"/>
    <w:rsid w:val="00EE13A3"/>
    <w:rsid w:val="00EE3465"/>
    <w:rsid w:val="00F10BAD"/>
    <w:rsid w:val="00F13408"/>
    <w:rsid w:val="00F329AD"/>
    <w:rsid w:val="00F43BDD"/>
    <w:rsid w:val="00F46A94"/>
    <w:rsid w:val="00F62816"/>
    <w:rsid w:val="00F6503A"/>
    <w:rsid w:val="00F80782"/>
    <w:rsid w:val="00F82060"/>
    <w:rsid w:val="00F86B0F"/>
    <w:rsid w:val="00F928C2"/>
    <w:rsid w:val="00FB4CA2"/>
    <w:rsid w:val="00FC00FF"/>
    <w:rsid w:val="00FC0395"/>
    <w:rsid w:val="00FC513F"/>
    <w:rsid w:val="00FC57D1"/>
    <w:rsid w:val="00FD21A0"/>
    <w:rsid w:val="00FF1B87"/>
    <w:rsid w:val="00FF4A68"/>
    <w:rsid w:val="00FF5393"/>
    <w:rsid w:val="00FF721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eaaf,#fff4d5"/>
    </o:shapedefaults>
    <o:shapelayout v:ext="edit">
      <o:idmap v:ext="edit" data="1"/>
    </o:shapelayout>
  </w:shapeDefaults>
  <w:decimalSymbol w:val="."/>
  <w:listSeparator w:val=","/>
  <w14:docId w14:val="57A4E4FF"/>
  <w15:docId w15:val="{D8F1CEE4-01F9-4B18-8685-0300CE4B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ms-MY" w:eastAsia="ms-MY"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1EB9"/>
    <w:rPr>
      <w:lang w:val="en-US" w:eastAsia="en-US"/>
    </w:rPr>
  </w:style>
  <w:style w:type="paragraph" w:styleId="Heading1">
    <w:name w:val="heading 1"/>
    <w:basedOn w:val="Normal"/>
    <w:next w:val="Normal"/>
    <w:link w:val="Heading1Char"/>
    <w:qFormat/>
    <w:rsid w:val="003D570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D675B"/>
    <w:pPr>
      <w:keepNext/>
      <w:keepLines/>
      <w:spacing w:before="200"/>
      <w:outlineLvl w:val="1"/>
    </w:pPr>
    <w:rPr>
      <w:rFonts w:ascii="Cambria" w:eastAsia="Calibri" w:hAnsi="Cambria"/>
      <w:b/>
      <w:bCs/>
      <w:color w:val="4F81BD"/>
      <w:sz w:val="26"/>
      <w:szCs w:val="26"/>
    </w:rPr>
  </w:style>
  <w:style w:type="paragraph" w:styleId="Heading4">
    <w:name w:val="heading 4"/>
    <w:basedOn w:val="Normal"/>
    <w:next w:val="Normal"/>
    <w:link w:val="Heading4Char"/>
    <w:semiHidden/>
    <w:unhideWhenUsed/>
    <w:qFormat/>
    <w:rsid w:val="00C1575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B0523"/>
    <w:pPr>
      <w:tabs>
        <w:tab w:val="center" w:pos="4320"/>
        <w:tab w:val="right" w:pos="8640"/>
      </w:tabs>
    </w:pPr>
  </w:style>
  <w:style w:type="paragraph" w:styleId="Footer">
    <w:name w:val="footer"/>
    <w:basedOn w:val="Normal"/>
    <w:link w:val="FooterChar"/>
    <w:uiPriority w:val="99"/>
    <w:rsid w:val="001B0523"/>
    <w:pPr>
      <w:tabs>
        <w:tab w:val="center" w:pos="4320"/>
        <w:tab w:val="right" w:pos="8640"/>
      </w:tabs>
    </w:pPr>
  </w:style>
  <w:style w:type="character" w:customStyle="1" w:styleId="Heading2Char">
    <w:name w:val="Heading 2 Char"/>
    <w:basedOn w:val="DefaultParagraphFont"/>
    <w:link w:val="Heading2"/>
    <w:rsid w:val="004D675B"/>
    <w:rPr>
      <w:rFonts w:ascii="Cambria" w:eastAsia="Calibri" w:hAnsi="Cambria"/>
      <w:b/>
      <w:bCs/>
      <w:color w:val="4F81BD"/>
      <w:sz w:val="26"/>
      <w:szCs w:val="26"/>
    </w:rPr>
  </w:style>
  <w:style w:type="character" w:customStyle="1" w:styleId="HeaderChar">
    <w:name w:val="Header Char"/>
    <w:basedOn w:val="DefaultParagraphFont"/>
    <w:link w:val="Header"/>
    <w:uiPriority w:val="99"/>
    <w:locked/>
    <w:rsid w:val="004D675B"/>
  </w:style>
  <w:style w:type="paragraph" w:styleId="BalloonText">
    <w:name w:val="Balloon Text"/>
    <w:basedOn w:val="Normal"/>
    <w:link w:val="BalloonTextChar"/>
    <w:rsid w:val="00B14F67"/>
    <w:rPr>
      <w:rFonts w:ascii="Tahoma" w:hAnsi="Tahoma" w:cs="Tahoma"/>
      <w:sz w:val="16"/>
      <w:szCs w:val="16"/>
    </w:rPr>
  </w:style>
  <w:style w:type="character" w:customStyle="1" w:styleId="BalloonTextChar">
    <w:name w:val="Balloon Text Char"/>
    <w:basedOn w:val="DefaultParagraphFont"/>
    <w:link w:val="BalloonText"/>
    <w:rsid w:val="00B14F67"/>
    <w:rPr>
      <w:rFonts w:ascii="Tahoma" w:hAnsi="Tahoma" w:cs="Tahoma"/>
      <w:sz w:val="16"/>
      <w:szCs w:val="16"/>
      <w:lang w:val="en-US" w:eastAsia="en-US"/>
    </w:rPr>
  </w:style>
  <w:style w:type="paragraph" w:styleId="ListParagraph">
    <w:name w:val="List Paragraph"/>
    <w:basedOn w:val="Normal"/>
    <w:link w:val="ListParagraphChar"/>
    <w:uiPriority w:val="34"/>
    <w:qFormat/>
    <w:rsid w:val="004D1A0A"/>
    <w:pPr>
      <w:spacing w:after="200" w:line="276"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uiPriority w:val="59"/>
    <w:rsid w:val="004D1A0A"/>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D570E"/>
    <w:rPr>
      <w:rFonts w:asciiTheme="majorHAnsi" w:eastAsiaTheme="majorEastAsia" w:hAnsiTheme="majorHAnsi" w:cstheme="majorBidi"/>
      <w:b/>
      <w:bCs/>
      <w:color w:val="365F91" w:themeColor="accent1" w:themeShade="BF"/>
      <w:sz w:val="28"/>
      <w:szCs w:val="28"/>
      <w:lang w:val="en-US" w:eastAsia="en-US"/>
    </w:rPr>
  </w:style>
  <w:style w:type="paragraph" w:styleId="BodyText2">
    <w:name w:val="Body Text 2"/>
    <w:basedOn w:val="Normal"/>
    <w:link w:val="BodyText2Char"/>
    <w:rsid w:val="003D570E"/>
    <w:rPr>
      <w:b/>
      <w:sz w:val="22"/>
      <w:u w:val="single"/>
    </w:rPr>
  </w:style>
  <w:style w:type="character" w:customStyle="1" w:styleId="BodyText2Char">
    <w:name w:val="Body Text 2 Char"/>
    <w:basedOn w:val="DefaultParagraphFont"/>
    <w:link w:val="BodyText2"/>
    <w:rsid w:val="003D570E"/>
    <w:rPr>
      <w:b/>
      <w:sz w:val="22"/>
      <w:u w:val="single"/>
      <w:lang w:val="en-US" w:eastAsia="en-US"/>
    </w:rPr>
  </w:style>
  <w:style w:type="character" w:styleId="Hyperlink">
    <w:name w:val="Hyperlink"/>
    <w:basedOn w:val="DefaultParagraphFont"/>
    <w:unhideWhenUsed/>
    <w:rsid w:val="00990ADE"/>
    <w:rPr>
      <w:color w:val="0000FF" w:themeColor="hyperlink"/>
      <w:u w:val="single"/>
    </w:rPr>
  </w:style>
  <w:style w:type="character" w:customStyle="1" w:styleId="UnresolvedMention1">
    <w:name w:val="Unresolved Mention1"/>
    <w:basedOn w:val="DefaultParagraphFont"/>
    <w:uiPriority w:val="99"/>
    <w:semiHidden/>
    <w:unhideWhenUsed/>
    <w:rsid w:val="00990ADE"/>
    <w:rPr>
      <w:color w:val="605E5C"/>
      <w:shd w:val="clear" w:color="auto" w:fill="E1DFDD"/>
    </w:rPr>
  </w:style>
  <w:style w:type="character" w:customStyle="1" w:styleId="Heading4Char">
    <w:name w:val="Heading 4 Char"/>
    <w:basedOn w:val="DefaultParagraphFont"/>
    <w:link w:val="Heading4"/>
    <w:semiHidden/>
    <w:rsid w:val="00C1575C"/>
    <w:rPr>
      <w:rFonts w:asciiTheme="majorHAnsi" w:eastAsiaTheme="majorEastAsia" w:hAnsiTheme="majorHAnsi" w:cstheme="majorBidi"/>
      <w:i/>
      <w:iCs/>
      <w:color w:val="365F91" w:themeColor="accent1" w:themeShade="BF"/>
      <w:lang w:val="en-US" w:eastAsia="en-US"/>
    </w:rPr>
  </w:style>
  <w:style w:type="character" w:customStyle="1" w:styleId="ListParagraphChar">
    <w:name w:val="List Paragraph Char"/>
    <w:link w:val="ListParagraph"/>
    <w:uiPriority w:val="34"/>
    <w:rsid w:val="008D09DB"/>
    <w:rPr>
      <w:rFonts w:asciiTheme="minorHAnsi" w:eastAsiaTheme="minorHAnsi" w:hAnsiTheme="minorHAnsi" w:cstheme="minorBidi"/>
      <w:sz w:val="22"/>
      <w:szCs w:val="22"/>
      <w:lang w:val="en-GB" w:eastAsia="en-US"/>
    </w:rPr>
  </w:style>
  <w:style w:type="paragraph" w:styleId="NormalWeb">
    <w:name w:val="Normal (Web)"/>
    <w:basedOn w:val="Normal"/>
    <w:uiPriority w:val="99"/>
    <w:rsid w:val="008D09DB"/>
    <w:pPr>
      <w:spacing w:before="100" w:beforeAutospacing="1" w:after="100" w:afterAutospacing="1"/>
    </w:pPr>
    <w:rPr>
      <w:sz w:val="24"/>
      <w:szCs w:val="24"/>
      <w:lang w:val="en-MY" w:eastAsia="en-MY"/>
    </w:rPr>
  </w:style>
  <w:style w:type="character" w:customStyle="1" w:styleId="FooterChar">
    <w:name w:val="Footer Char"/>
    <w:basedOn w:val="DefaultParagraphFont"/>
    <w:link w:val="Footer"/>
    <w:uiPriority w:val="99"/>
    <w:rsid w:val="00401A35"/>
    <w:rPr>
      <w:lang w:val="en-US" w:eastAsia="en-US"/>
    </w:rPr>
  </w:style>
  <w:style w:type="character" w:styleId="UnresolvedMention">
    <w:name w:val="Unresolved Mention"/>
    <w:basedOn w:val="DefaultParagraphFont"/>
    <w:uiPriority w:val="99"/>
    <w:semiHidden/>
    <w:unhideWhenUsed/>
    <w:rsid w:val="005D1BFE"/>
    <w:rPr>
      <w:color w:val="605E5C"/>
      <w:shd w:val="clear" w:color="auto" w:fill="E1DFDD"/>
    </w:rPr>
  </w:style>
  <w:style w:type="paragraph" w:styleId="NoSpacing">
    <w:name w:val="No Spacing"/>
    <w:uiPriority w:val="1"/>
    <w:qFormat/>
    <w:rsid w:val="005D1BFE"/>
    <w:rPr>
      <w:rFonts w:ascii="Calibri" w:eastAsia="Calibri" w:hAnsi="Calibri"/>
      <w:sz w:val="22"/>
      <w:szCs w:val="22"/>
      <w:lang w:val="en-US" w:eastAsia="en-US"/>
    </w:rPr>
  </w:style>
  <w:style w:type="character" w:styleId="CommentReference">
    <w:name w:val="annotation reference"/>
    <w:basedOn w:val="DefaultParagraphFont"/>
    <w:semiHidden/>
    <w:unhideWhenUsed/>
    <w:rsid w:val="007255C6"/>
    <w:rPr>
      <w:sz w:val="16"/>
      <w:szCs w:val="16"/>
    </w:rPr>
  </w:style>
  <w:style w:type="paragraph" w:styleId="CommentText">
    <w:name w:val="annotation text"/>
    <w:basedOn w:val="Normal"/>
    <w:link w:val="CommentTextChar"/>
    <w:semiHidden/>
    <w:unhideWhenUsed/>
    <w:rsid w:val="007255C6"/>
  </w:style>
  <w:style w:type="character" w:customStyle="1" w:styleId="CommentTextChar">
    <w:name w:val="Comment Text Char"/>
    <w:basedOn w:val="DefaultParagraphFont"/>
    <w:link w:val="CommentText"/>
    <w:semiHidden/>
    <w:rsid w:val="007255C6"/>
    <w:rPr>
      <w:lang w:val="en-US" w:eastAsia="en-US"/>
    </w:rPr>
  </w:style>
  <w:style w:type="paragraph" w:styleId="CommentSubject">
    <w:name w:val="annotation subject"/>
    <w:basedOn w:val="CommentText"/>
    <w:next w:val="CommentText"/>
    <w:link w:val="CommentSubjectChar"/>
    <w:semiHidden/>
    <w:unhideWhenUsed/>
    <w:rsid w:val="007255C6"/>
    <w:rPr>
      <w:b/>
      <w:bCs/>
    </w:rPr>
  </w:style>
  <w:style w:type="character" w:customStyle="1" w:styleId="CommentSubjectChar">
    <w:name w:val="Comment Subject Char"/>
    <w:basedOn w:val="CommentTextChar"/>
    <w:link w:val="CommentSubject"/>
    <w:semiHidden/>
    <w:rsid w:val="007255C6"/>
    <w:rPr>
      <w:b/>
      <w:bCs/>
      <w:lang w:val="en-US" w:eastAsia="en-US"/>
    </w:rPr>
  </w:style>
  <w:style w:type="character" w:styleId="Emphasis">
    <w:name w:val="Emphasis"/>
    <w:basedOn w:val="DefaultParagraphFont"/>
    <w:uiPriority w:val="20"/>
    <w:qFormat/>
    <w:rsid w:val="007255C6"/>
    <w:rPr>
      <w:i/>
      <w:iCs/>
    </w:rPr>
  </w:style>
  <w:style w:type="character" w:styleId="Strong">
    <w:name w:val="Strong"/>
    <w:basedOn w:val="DefaultParagraphFont"/>
    <w:uiPriority w:val="22"/>
    <w:qFormat/>
    <w:rsid w:val="00823742"/>
    <w:rPr>
      <w:b/>
      <w:bCs/>
    </w:rPr>
  </w:style>
  <w:style w:type="paragraph" w:styleId="Revision">
    <w:name w:val="Revision"/>
    <w:hidden/>
    <w:uiPriority w:val="99"/>
    <w:semiHidden/>
    <w:rsid w:val="0019112F"/>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86060">
      <w:bodyDiv w:val="1"/>
      <w:marLeft w:val="0"/>
      <w:marRight w:val="0"/>
      <w:marTop w:val="0"/>
      <w:marBottom w:val="0"/>
      <w:divBdr>
        <w:top w:val="none" w:sz="0" w:space="0" w:color="auto"/>
        <w:left w:val="none" w:sz="0" w:space="0" w:color="auto"/>
        <w:bottom w:val="none" w:sz="0" w:space="0" w:color="auto"/>
        <w:right w:val="none" w:sz="0" w:space="0" w:color="auto"/>
      </w:divBdr>
    </w:div>
    <w:div w:id="246815018">
      <w:bodyDiv w:val="1"/>
      <w:marLeft w:val="0"/>
      <w:marRight w:val="0"/>
      <w:marTop w:val="0"/>
      <w:marBottom w:val="0"/>
      <w:divBdr>
        <w:top w:val="none" w:sz="0" w:space="0" w:color="auto"/>
        <w:left w:val="none" w:sz="0" w:space="0" w:color="auto"/>
        <w:bottom w:val="none" w:sz="0" w:space="0" w:color="auto"/>
        <w:right w:val="none" w:sz="0" w:space="0" w:color="auto"/>
      </w:divBdr>
    </w:div>
    <w:div w:id="339478315">
      <w:bodyDiv w:val="1"/>
      <w:marLeft w:val="0"/>
      <w:marRight w:val="0"/>
      <w:marTop w:val="0"/>
      <w:marBottom w:val="0"/>
      <w:divBdr>
        <w:top w:val="none" w:sz="0" w:space="0" w:color="auto"/>
        <w:left w:val="none" w:sz="0" w:space="0" w:color="auto"/>
        <w:bottom w:val="none" w:sz="0" w:space="0" w:color="auto"/>
        <w:right w:val="none" w:sz="0" w:space="0" w:color="auto"/>
      </w:divBdr>
    </w:div>
    <w:div w:id="615646110">
      <w:bodyDiv w:val="1"/>
      <w:marLeft w:val="0"/>
      <w:marRight w:val="0"/>
      <w:marTop w:val="0"/>
      <w:marBottom w:val="0"/>
      <w:divBdr>
        <w:top w:val="none" w:sz="0" w:space="0" w:color="auto"/>
        <w:left w:val="none" w:sz="0" w:space="0" w:color="auto"/>
        <w:bottom w:val="none" w:sz="0" w:space="0" w:color="auto"/>
        <w:right w:val="none" w:sz="0" w:space="0" w:color="auto"/>
      </w:divBdr>
    </w:div>
    <w:div w:id="681515751">
      <w:bodyDiv w:val="1"/>
      <w:marLeft w:val="0"/>
      <w:marRight w:val="0"/>
      <w:marTop w:val="0"/>
      <w:marBottom w:val="0"/>
      <w:divBdr>
        <w:top w:val="none" w:sz="0" w:space="0" w:color="auto"/>
        <w:left w:val="none" w:sz="0" w:space="0" w:color="auto"/>
        <w:bottom w:val="none" w:sz="0" w:space="0" w:color="auto"/>
        <w:right w:val="none" w:sz="0" w:space="0" w:color="auto"/>
      </w:divBdr>
    </w:div>
    <w:div w:id="713776085">
      <w:bodyDiv w:val="1"/>
      <w:marLeft w:val="0"/>
      <w:marRight w:val="0"/>
      <w:marTop w:val="0"/>
      <w:marBottom w:val="0"/>
      <w:divBdr>
        <w:top w:val="none" w:sz="0" w:space="0" w:color="auto"/>
        <w:left w:val="none" w:sz="0" w:space="0" w:color="auto"/>
        <w:bottom w:val="none" w:sz="0" w:space="0" w:color="auto"/>
        <w:right w:val="none" w:sz="0" w:space="0" w:color="auto"/>
      </w:divBdr>
    </w:div>
    <w:div w:id="1350596237">
      <w:bodyDiv w:val="1"/>
      <w:marLeft w:val="0"/>
      <w:marRight w:val="0"/>
      <w:marTop w:val="0"/>
      <w:marBottom w:val="0"/>
      <w:divBdr>
        <w:top w:val="none" w:sz="0" w:space="0" w:color="auto"/>
        <w:left w:val="none" w:sz="0" w:space="0" w:color="auto"/>
        <w:bottom w:val="none" w:sz="0" w:space="0" w:color="auto"/>
        <w:right w:val="none" w:sz="0" w:space="0" w:color="auto"/>
      </w:divBdr>
    </w:div>
    <w:div w:id="1472480099">
      <w:bodyDiv w:val="1"/>
      <w:marLeft w:val="0"/>
      <w:marRight w:val="0"/>
      <w:marTop w:val="0"/>
      <w:marBottom w:val="0"/>
      <w:divBdr>
        <w:top w:val="none" w:sz="0" w:space="0" w:color="auto"/>
        <w:left w:val="none" w:sz="0" w:space="0" w:color="auto"/>
        <w:bottom w:val="none" w:sz="0" w:space="0" w:color="auto"/>
        <w:right w:val="none" w:sz="0" w:space="0" w:color="auto"/>
      </w:divBdr>
    </w:div>
    <w:div w:id="1942760437">
      <w:bodyDiv w:val="1"/>
      <w:marLeft w:val="0"/>
      <w:marRight w:val="0"/>
      <w:marTop w:val="0"/>
      <w:marBottom w:val="0"/>
      <w:divBdr>
        <w:top w:val="none" w:sz="0" w:space="0" w:color="auto"/>
        <w:left w:val="none" w:sz="0" w:space="0" w:color="auto"/>
        <w:bottom w:val="none" w:sz="0" w:space="0" w:color="auto"/>
        <w:right w:val="none" w:sz="0" w:space="0" w:color="auto"/>
      </w:divBdr>
    </w:div>
    <w:div w:id="211204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open.dosm.gov.my"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B76A4-2488-43FF-8951-91A464173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MEDIA STATEMENT</vt:lpstr>
    </vt:vector>
  </TitlesOfParts>
  <Company>Jabatan Perangkaan Malaysia</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STATEMENT</dc:title>
  <dc:creator>pabkkp</dc:creator>
  <cp:lastModifiedBy>Nurul Izzati Sydina</cp:lastModifiedBy>
  <cp:revision>7</cp:revision>
  <cp:lastPrinted>2026-05-25T08:51:00Z</cp:lastPrinted>
  <dcterms:created xsi:type="dcterms:W3CDTF">2026-05-25T16:58:00Z</dcterms:created>
  <dcterms:modified xsi:type="dcterms:W3CDTF">2026-05-26T03:16:00Z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b9b36fab11cedae17e1d92ccabd26c33138086f1b5a1a4431328eb00be5bfa86</vt:lpwstr>
  </property>
</Properties>
</file>